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28FA" w14:textId="77777777" w:rsidR="001A39CD" w:rsidRDefault="00646C82">
      <w:pPr>
        <w:spacing w:after="0" w:line="240" w:lineRule="auto"/>
        <w:rPr>
          <w:b/>
          <w:color w:val="FF0000"/>
        </w:rPr>
      </w:pPr>
      <w:r>
        <w:rPr>
          <w:b/>
          <w:color w:val="FF0000"/>
        </w:rPr>
        <w:t xml:space="preserve">KEY </w:t>
      </w:r>
    </w:p>
    <w:p w14:paraId="43E8C062" w14:textId="77777777" w:rsidR="001A39CD" w:rsidRDefault="001A39CD">
      <w:pPr>
        <w:spacing w:after="0" w:line="240" w:lineRule="auto"/>
        <w:rPr>
          <w:b/>
        </w:rPr>
      </w:pPr>
    </w:p>
    <w:p w14:paraId="532946F8" w14:textId="77777777" w:rsidR="001A39CD" w:rsidRDefault="00646C82">
      <w:pPr>
        <w:spacing w:after="0" w:line="240" w:lineRule="auto"/>
      </w:pPr>
      <w:r>
        <w:rPr>
          <w:b/>
        </w:rPr>
        <w:t>AP Human Geography</w:t>
      </w:r>
      <w:r>
        <w:rPr>
          <w:b/>
        </w:rPr>
        <w:tab/>
      </w:r>
      <w:r>
        <w:rPr>
          <w:b/>
        </w:rPr>
        <w:tab/>
        <w:t xml:space="preserve">    </w:t>
      </w:r>
      <w:r>
        <w:rPr>
          <w:b/>
        </w:rPr>
        <w:tab/>
        <w:t xml:space="preserve">        Global Population Data Sheet Activity</w:t>
      </w:r>
      <w:r>
        <w:rPr>
          <w:b/>
        </w:rPr>
        <w:tab/>
      </w:r>
      <w:r>
        <w:rPr>
          <w:b/>
        </w:rPr>
        <w:tab/>
        <w:t xml:space="preserve">     </w:t>
      </w:r>
      <w:r>
        <w:rPr>
          <w:b/>
        </w:rPr>
        <w:tab/>
        <w:t xml:space="preserve">     Mr. Stepek       </w:t>
      </w:r>
    </w:p>
    <w:p w14:paraId="719469FD" w14:textId="77777777" w:rsidR="001A39CD" w:rsidRDefault="00646C82">
      <w:pPr>
        <w:spacing w:after="0" w:line="240" w:lineRule="auto"/>
        <w:jc w:val="center"/>
      </w:pPr>
      <w:r>
        <w:rPr>
          <w:b/>
        </w:rPr>
        <w:t xml:space="preserve">              (using statistical tables and analyzing data)</w:t>
      </w:r>
    </w:p>
    <w:p w14:paraId="65B2FD34" w14:textId="77777777" w:rsidR="001A39CD" w:rsidRDefault="00646C82">
      <w:pPr>
        <w:spacing w:after="0" w:line="240" w:lineRule="auto"/>
        <w:rPr>
          <w:color w:val="C00000"/>
          <w:sz w:val="20"/>
          <w:szCs w:val="20"/>
        </w:rPr>
      </w:pPr>
      <w:r>
        <w:rPr>
          <w:b/>
          <w:sz w:val="20"/>
          <w:szCs w:val="20"/>
        </w:rPr>
        <w:t xml:space="preserve">Directions:  Using the chart below, answer the following questions.  </w:t>
      </w:r>
      <w:r>
        <w:rPr>
          <w:b/>
          <w:sz w:val="20"/>
          <w:szCs w:val="20"/>
          <w:u w:val="single"/>
        </w:rPr>
        <w:t>Remember to answer in complete answer format to the level of the prompt</w:t>
      </w:r>
      <w:r>
        <w:rPr>
          <w:b/>
          <w:sz w:val="20"/>
          <w:szCs w:val="20"/>
        </w:rPr>
        <w:t xml:space="preserve">. Review “How to write FRQs” under study tools on my website if you don’t know what the prompt requires.  </w:t>
      </w:r>
      <w:r>
        <w:rPr>
          <w:b/>
          <w:color w:val="C00000"/>
          <w:sz w:val="20"/>
          <w:szCs w:val="20"/>
        </w:rPr>
        <w:t>You should be using the table to provide support/examples for your answers!  Don</w:t>
      </w:r>
      <w:r>
        <w:rPr>
          <w:b/>
          <w:color w:val="C00000"/>
          <w:sz w:val="20"/>
          <w:szCs w:val="20"/>
        </w:rPr>
        <w:t xml:space="preserve">’t average statistics between </w:t>
      </w:r>
      <w:proofErr w:type="gramStart"/>
      <w:r>
        <w:rPr>
          <w:b/>
          <w:color w:val="C00000"/>
          <w:sz w:val="20"/>
          <w:szCs w:val="20"/>
        </w:rPr>
        <w:t>regions</w:t>
      </w:r>
      <w:proofErr w:type="gramEnd"/>
      <w:r>
        <w:rPr>
          <w:b/>
          <w:color w:val="C00000"/>
          <w:sz w:val="20"/>
          <w:szCs w:val="20"/>
        </w:rPr>
        <w:t xml:space="preserve"> however. Since different regions have different population sizes an average would not be accurate or appropriate.  Rather, </w:t>
      </w:r>
      <w:r>
        <w:rPr>
          <w:b/>
          <w:color w:val="C00000"/>
          <w:sz w:val="20"/>
          <w:szCs w:val="20"/>
          <w:u w:val="single"/>
        </w:rPr>
        <w:t>cite “ranges”</w:t>
      </w:r>
      <w:r>
        <w:rPr>
          <w:b/>
          <w:color w:val="C00000"/>
          <w:sz w:val="20"/>
          <w:szCs w:val="20"/>
        </w:rPr>
        <w:t xml:space="preserve"> (“Except for Oceania, most MDC crude births are between 8 - 11 while, with the e</w:t>
      </w:r>
      <w:r>
        <w:rPr>
          <w:b/>
          <w:color w:val="C00000"/>
          <w:sz w:val="20"/>
          <w:szCs w:val="20"/>
        </w:rPr>
        <w:t xml:space="preserve">xception of East Asia, most LDC crude birth rates are over 15”) </w:t>
      </w:r>
      <w:r>
        <w:rPr>
          <w:b/>
          <w:color w:val="C00000"/>
          <w:sz w:val="20"/>
          <w:szCs w:val="20"/>
          <w:u w:val="single"/>
        </w:rPr>
        <w:t>or specific examples from the chart to support your conclusions.  Do not use the internet to find support, use the chart</w:t>
      </w:r>
      <w:r>
        <w:rPr>
          <w:b/>
          <w:color w:val="C00000"/>
          <w:sz w:val="20"/>
          <w:szCs w:val="20"/>
        </w:rPr>
        <w:t>!</w:t>
      </w:r>
    </w:p>
    <w:p w14:paraId="1EA89C1E" w14:textId="77777777" w:rsidR="001A39CD" w:rsidRDefault="001A39CD">
      <w:pPr>
        <w:spacing w:after="0" w:line="240" w:lineRule="auto"/>
        <w:rPr>
          <w:color w:val="C00000"/>
          <w:sz w:val="20"/>
          <w:szCs w:val="20"/>
        </w:rPr>
      </w:pPr>
    </w:p>
    <w:p w14:paraId="4579F7C6" w14:textId="77777777" w:rsidR="001A39CD" w:rsidRDefault="00646C82">
      <w:pPr>
        <w:spacing w:after="0" w:line="240" w:lineRule="auto"/>
        <w:rPr>
          <w:sz w:val="20"/>
          <w:szCs w:val="20"/>
        </w:rPr>
      </w:pPr>
      <w:r>
        <w:rPr>
          <w:b/>
          <w:sz w:val="20"/>
          <w:szCs w:val="20"/>
        </w:rPr>
        <w:t>The team lead should download a copy, rename it (</w:t>
      </w:r>
      <w:r>
        <w:rPr>
          <w:b/>
          <w:sz w:val="20"/>
          <w:szCs w:val="20"/>
        </w:rPr>
        <w:t>“</w:t>
      </w:r>
      <w:r>
        <w:rPr>
          <w:b/>
          <w:sz w:val="20"/>
          <w:szCs w:val="20"/>
        </w:rPr>
        <w:t>P6G2</w:t>
      </w:r>
      <w:r>
        <w:rPr>
          <w:b/>
          <w:sz w:val="20"/>
          <w:szCs w:val="20"/>
        </w:rPr>
        <w:t xml:space="preserve"> Joe Mary Sue and Jim” would be the name for Group 2 in Period 6 consisting of students Joe, Mary, </w:t>
      </w:r>
      <w:proofErr w:type="gramStart"/>
      <w:r>
        <w:rPr>
          <w:b/>
          <w:sz w:val="20"/>
          <w:szCs w:val="20"/>
        </w:rPr>
        <w:t>Sue</w:t>
      </w:r>
      <w:proofErr w:type="gramEnd"/>
      <w:r>
        <w:rPr>
          <w:b/>
          <w:sz w:val="20"/>
          <w:szCs w:val="20"/>
        </w:rPr>
        <w:t xml:space="preserve"> and Jim)</w:t>
      </w:r>
      <w:r>
        <w:rPr>
          <w:b/>
          <w:sz w:val="20"/>
          <w:szCs w:val="20"/>
        </w:rPr>
        <w:t xml:space="preserve"> and share with the rest of the group as editors.  The team lead should SHARE the finished work product with me by Fr</w:t>
      </w:r>
      <w:r>
        <w:rPr>
          <w:b/>
          <w:sz w:val="20"/>
          <w:szCs w:val="20"/>
        </w:rPr>
        <w:t xml:space="preserve">iday </w:t>
      </w:r>
      <w:r>
        <w:rPr>
          <w:b/>
          <w:sz w:val="20"/>
          <w:szCs w:val="20"/>
        </w:rPr>
        <w:t>October 13</w:t>
      </w:r>
      <w:r>
        <w:rPr>
          <w:b/>
          <w:sz w:val="20"/>
          <w:szCs w:val="20"/>
          <w:vertAlign w:val="superscript"/>
        </w:rPr>
        <w:t>th</w:t>
      </w:r>
      <w:r>
        <w:rPr>
          <w:b/>
          <w:sz w:val="20"/>
          <w:szCs w:val="20"/>
        </w:rPr>
        <w:t xml:space="preserve"> at 11:59 pm.</w:t>
      </w:r>
    </w:p>
    <w:p w14:paraId="73234EB4" w14:textId="77777777" w:rsidR="001A39CD" w:rsidRDefault="001A39CD">
      <w:pPr>
        <w:spacing w:after="0" w:line="240" w:lineRule="auto"/>
        <w:rPr>
          <w:sz w:val="20"/>
          <w:szCs w:val="20"/>
        </w:rPr>
      </w:pPr>
    </w:p>
    <w:p w14:paraId="2C8F3F2F" w14:textId="77777777" w:rsidR="001A39CD" w:rsidRDefault="00646C82">
      <w:pPr>
        <w:spacing w:after="0" w:line="240" w:lineRule="auto"/>
        <w:rPr>
          <w:sz w:val="20"/>
          <w:szCs w:val="20"/>
        </w:rPr>
      </w:pPr>
      <w:r>
        <w:rPr>
          <w:b/>
          <w:sz w:val="20"/>
          <w:szCs w:val="20"/>
        </w:rPr>
        <w:t xml:space="preserve">The questions require you to make connections between sets of data and to draw conclusions.  I’m not giving you the answer; I want YOU to think about why these statistics are related. Please refer to your guided reading key, referenced page numbers and the Demographic Transition graphic organizer we completed together.  </w:t>
      </w:r>
      <w:r>
        <w:rPr>
          <w:b/>
          <w:sz w:val="20"/>
          <w:szCs w:val="20"/>
        </w:rPr>
        <w:t>Type</w:t>
      </w:r>
      <w:r>
        <w:rPr>
          <w:b/>
          <w:sz w:val="20"/>
          <w:szCs w:val="20"/>
        </w:rPr>
        <w:t xml:space="preserve"> directly </w:t>
      </w:r>
      <w:r>
        <w:rPr>
          <w:b/>
          <w:sz w:val="20"/>
          <w:szCs w:val="20"/>
        </w:rPr>
        <w:t>into</w:t>
      </w:r>
      <w:r>
        <w:rPr>
          <w:b/>
          <w:sz w:val="20"/>
          <w:szCs w:val="20"/>
        </w:rPr>
        <w:t xml:space="preserve"> this form; the sheet should move to make room for your answers.</w:t>
      </w:r>
    </w:p>
    <w:tbl>
      <w:tblPr>
        <w:tblStyle w:val="a"/>
        <w:tblW w:w="113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800"/>
        <w:gridCol w:w="1530"/>
        <w:gridCol w:w="1530"/>
        <w:gridCol w:w="1665"/>
        <w:gridCol w:w="885"/>
        <w:gridCol w:w="1500"/>
        <w:gridCol w:w="1350"/>
        <w:gridCol w:w="720"/>
      </w:tblGrid>
      <w:tr w:rsidR="001A39CD" w14:paraId="012B503A" w14:textId="77777777">
        <w:trPr>
          <w:trHeight w:val="755"/>
        </w:trPr>
        <w:tc>
          <w:tcPr>
            <w:tcW w:w="2160" w:type="dxa"/>
            <w:gridSpan w:val="2"/>
          </w:tcPr>
          <w:p w14:paraId="0E77C837" w14:textId="77777777" w:rsidR="001A39CD" w:rsidRDefault="00646C82">
            <w:pPr>
              <w:tabs>
                <w:tab w:val="left" w:pos="206"/>
                <w:tab w:val="center" w:pos="1071"/>
              </w:tabs>
              <w:spacing w:line="240" w:lineRule="auto"/>
              <w:jc w:val="center"/>
              <w:rPr>
                <w:sz w:val="40"/>
                <w:szCs w:val="40"/>
              </w:rPr>
            </w:pPr>
            <w:r>
              <w:rPr>
                <w:b/>
                <w:sz w:val="40"/>
                <w:szCs w:val="40"/>
              </w:rPr>
              <w:t>Region</w:t>
            </w:r>
          </w:p>
        </w:tc>
        <w:tc>
          <w:tcPr>
            <w:tcW w:w="1530" w:type="dxa"/>
          </w:tcPr>
          <w:p w14:paraId="2448AD2A" w14:textId="77777777" w:rsidR="001A39CD" w:rsidRDefault="00646C82">
            <w:pPr>
              <w:spacing w:after="0" w:line="240" w:lineRule="auto"/>
              <w:jc w:val="center"/>
              <w:rPr>
                <w:sz w:val="18"/>
                <w:szCs w:val="18"/>
              </w:rPr>
            </w:pPr>
            <w:r>
              <w:rPr>
                <w:b/>
                <w:sz w:val="18"/>
                <w:szCs w:val="18"/>
              </w:rPr>
              <w:t>Crude Birth Rate</w:t>
            </w:r>
          </w:p>
          <w:p w14:paraId="1327ED2B" w14:textId="77777777" w:rsidR="001A39CD" w:rsidRDefault="00646C82">
            <w:pPr>
              <w:spacing w:after="0" w:line="240" w:lineRule="auto"/>
              <w:jc w:val="center"/>
              <w:rPr>
                <w:sz w:val="18"/>
                <w:szCs w:val="18"/>
              </w:rPr>
            </w:pPr>
            <w:r>
              <w:rPr>
                <w:b/>
                <w:sz w:val="18"/>
                <w:szCs w:val="18"/>
              </w:rPr>
              <w:t>(CBR)</w:t>
            </w:r>
          </w:p>
          <w:p w14:paraId="7DC233FA" w14:textId="77777777" w:rsidR="001A39CD" w:rsidRDefault="00646C82">
            <w:pPr>
              <w:spacing w:line="240" w:lineRule="auto"/>
              <w:jc w:val="center"/>
              <w:rPr>
                <w:sz w:val="20"/>
                <w:szCs w:val="20"/>
              </w:rPr>
            </w:pPr>
            <w:r>
              <w:rPr>
                <w:b/>
                <w:sz w:val="16"/>
                <w:szCs w:val="16"/>
              </w:rPr>
              <w:t>(# of births/1000 pop.)</w:t>
            </w:r>
          </w:p>
        </w:tc>
        <w:tc>
          <w:tcPr>
            <w:tcW w:w="1530" w:type="dxa"/>
          </w:tcPr>
          <w:p w14:paraId="1E510837" w14:textId="77777777" w:rsidR="001A39CD" w:rsidRDefault="00646C82">
            <w:pPr>
              <w:spacing w:after="0" w:line="240" w:lineRule="auto"/>
              <w:jc w:val="center"/>
              <w:rPr>
                <w:sz w:val="18"/>
                <w:szCs w:val="18"/>
              </w:rPr>
            </w:pPr>
            <w:r>
              <w:rPr>
                <w:b/>
                <w:sz w:val="18"/>
                <w:szCs w:val="18"/>
              </w:rPr>
              <w:t>Crude Death Rate</w:t>
            </w:r>
          </w:p>
          <w:p w14:paraId="25B4EC57" w14:textId="77777777" w:rsidR="001A39CD" w:rsidRDefault="00646C82">
            <w:pPr>
              <w:spacing w:after="0" w:line="240" w:lineRule="auto"/>
              <w:jc w:val="center"/>
              <w:rPr>
                <w:sz w:val="18"/>
                <w:szCs w:val="18"/>
              </w:rPr>
            </w:pPr>
            <w:r>
              <w:rPr>
                <w:b/>
                <w:sz w:val="18"/>
                <w:szCs w:val="18"/>
              </w:rPr>
              <w:t>(CDR)</w:t>
            </w:r>
          </w:p>
          <w:p w14:paraId="28DB8E96" w14:textId="77777777" w:rsidR="001A39CD" w:rsidRDefault="00646C82">
            <w:pPr>
              <w:spacing w:after="0" w:line="240" w:lineRule="auto"/>
              <w:jc w:val="center"/>
              <w:rPr>
                <w:sz w:val="20"/>
                <w:szCs w:val="20"/>
              </w:rPr>
            </w:pPr>
            <w:r>
              <w:rPr>
                <w:b/>
                <w:sz w:val="16"/>
                <w:szCs w:val="16"/>
              </w:rPr>
              <w:t>(# of deaths/1000 pop.)</w:t>
            </w:r>
          </w:p>
        </w:tc>
        <w:tc>
          <w:tcPr>
            <w:tcW w:w="1665" w:type="dxa"/>
          </w:tcPr>
          <w:p w14:paraId="09F9E730" w14:textId="77777777" w:rsidR="001A39CD" w:rsidRDefault="00646C82">
            <w:pPr>
              <w:spacing w:after="0" w:line="240" w:lineRule="auto"/>
              <w:jc w:val="center"/>
              <w:rPr>
                <w:sz w:val="18"/>
                <w:szCs w:val="18"/>
              </w:rPr>
            </w:pPr>
            <w:r>
              <w:rPr>
                <w:b/>
                <w:sz w:val="18"/>
                <w:szCs w:val="18"/>
              </w:rPr>
              <w:t>Natural Incr. Rate (NIR or RNI)</w:t>
            </w:r>
          </w:p>
          <w:p w14:paraId="5326D5FB" w14:textId="77777777" w:rsidR="001A39CD" w:rsidRDefault="00646C82">
            <w:pPr>
              <w:spacing w:line="240" w:lineRule="auto"/>
              <w:jc w:val="center"/>
              <w:rPr>
                <w:sz w:val="20"/>
                <w:szCs w:val="20"/>
              </w:rPr>
            </w:pPr>
            <w:r>
              <w:rPr>
                <w:b/>
                <w:sz w:val="20"/>
                <w:szCs w:val="20"/>
              </w:rPr>
              <w:t xml:space="preserve"> </w:t>
            </w:r>
            <w:r>
              <w:rPr>
                <w:b/>
                <w:sz w:val="16"/>
                <w:szCs w:val="16"/>
              </w:rPr>
              <w:t>(NIR = CBR – CDR convert to %)</w:t>
            </w:r>
          </w:p>
        </w:tc>
        <w:tc>
          <w:tcPr>
            <w:tcW w:w="885" w:type="dxa"/>
          </w:tcPr>
          <w:p w14:paraId="13EBEB35" w14:textId="77777777" w:rsidR="001A39CD" w:rsidRDefault="00646C82">
            <w:pPr>
              <w:spacing w:after="0" w:line="240" w:lineRule="auto"/>
              <w:jc w:val="center"/>
              <w:rPr>
                <w:sz w:val="18"/>
                <w:szCs w:val="18"/>
              </w:rPr>
            </w:pPr>
            <w:r>
              <w:rPr>
                <w:b/>
                <w:sz w:val="18"/>
                <w:szCs w:val="18"/>
              </w:rPr>
              <w:t>Total Fertility Rate</w:t>
            </w:r>
          </w:p>
          <w:p w14:paraId="5CAB0EBE" w14:textId="77777777" w:rsidR="001A39CD" w:rsidRDefault="00646C82">
            <w:pPr>
              <w:spacing w:line="240" w:lineRule="auto"/>
              <w:jc w:val="center"/>
              <w:rPr>
                <w:sz w:val="18"/>
                <w:szCs w:val="18"/>
              </w:rPr>
            </w:pPr>
            <w:r>
              <w:rPr>
                <w:b/>
                <w:sz w:val="18"/>
                <w:szCs w:val="18"/>
              </w:rPr>
              <w:t>(TFR)</w:t>
            </w:r>
          </w:p>
        </w:tc>
        <w:tc>
          <w:tcPr>
            <w:tcW w:w="1500" w:type="dxa"/>
          </w:tcPr>
          <w:p w14:paraId="29617B99" w14:textId="77777777" w:rsidR="001A39CD" w:rsidRDefault="00646C82">
            <w:pPr>
              <w:spacing w:after="0" w:line="240" w:lineRule="auto"/>
              <w:jc w:val="center"/>
              <w:rPr>
                <w:sz w:val="18"/>
                <w:szCs w:val="18"/>
              </w:rPr>
            </w:pPr>
            <w:r>
              <w:rPr>
                <w:b/>
                <w:sz w:val="18"/>
                <w:szCs w:val="18"/>
              </w:rPr>
              <w:t>Infant Mortality Rate</w:t>
            </w:r>
          </w:p>
          <w:p w14:paraId="1BCF57A1" w14:textId="77777777" w:rsidR="001A39CD" w:rsidRDefault="00646C82">
            <w:pPr>
              <w:spacing w:after="0" w:line="240" w:lineRule="auto"/>
              <w:jc w:val="center"/>
              <w:rPr>
                <w:sz w:val="18"/>
                <w:szCs w:val="18"/>
              </w:rPr>
            </w:pPr>
            <w:r>
              <w:rPr>
                <w:b/>
                <w:sz w:val="18"/>
                <w:szCs w:val="18"/>
              </w:rPr>
              <w:t>(IMR)</w:t>
            </w:r>
          </w:p>
          <w:p w14:paraId="7C61740E" w14:textId="77777777" w:rsidR="001A39CD" w:rsidRDefault="00646C82">
            <w:pPr>
              <w:spacing w:line="240" w:lineRule="auto"/>
              <w:jc w:val="center"/>
              <w:rPr>
                <w:sz w:val="16"/>
                <w:szCs w:val="16"/>
              </w:rPr>
            </w:pPr>
            <w:r>
              <w:rPr>
                <w:b/>
                <w:sz w:val="16"/>
                <w:szCs w:val="16"/>
              </w:rPr>
              <w:t>(out of 1,000 live births)</w:t>
            </w:r>
          </w:p>
        </w:tc>
        <w:tc>
          <w:tcPr>
            <w:tcW w:w="1350" w:type="dxa"/>
          </w:tcPr>
          <w:p w14:paraId="41AE429C" w14:textId="77777777" w:rsidR="001A39CD" w:rsidRDefault="00646C82">
            <w:pPr>
              <w:spacing w:after="0" w:line="240" w:lineRule="auto"/>
              <w:jc w:val="center"/>
              <w:rPr>
                <w:sz w:val="18"/>
                <w:szCs w:val="18"/>
              </w:rPr>
            </w:pPr>
            <w:r>
              <w:rPr>
                <w:b/>
                <w:sz w:val="18"/>
                <w:szCs w:val="18"/>
              </w:rPr>
              <w:t>GNI per capita</w:t>
            </w:r>
          </w:p>
          <w:p w14:paraId="553E2885" w14:textId="77777777" w:rsidR="001A39CD" w:rsidRDefault="00646C82">
            <w:pPr>
              <w:spacing w:line="240" w:lineRule="auto"/>
              <w:jc w:val="center"/>
              <w:rPr>
                <w:sz w:val="20"/>
                <w:szCs w:val="20"/>
              </w:rPr>
            </w:pPr>
            <w:r>
              <w:rPr>
                <w:b/>
                <w:sz w:val="18"/>
                <w:szCs w:val="18"/>
              </w:rPr>
              <w:t>(global avg. = $16,885)</w:t>
            </w:r>
          </w:p>
        </w:tc>
        <w:tc>
          <w:tcPr>
            <w:tcW w:w="720" w:type="dxa"/>
          </w:tcPr>
          <w:p w14:paraId="4CA56BF4" w14:textId="77777777" w:rsidR="001A39CD" w:rsidRDefault="00646C82">
            <w:pPr>
              <w:spacing w:line="240" w:lineRule="auto"/>
              <w:jc w:val="center"/>
              <w:rPr>
                <w:sz w:val="18"/>
                <w:szCs w:val="18"/>
              </w:rPr>
            </w:pPr>
            <w:r>
              <w:rPr>
                <w:b/>
                <w:sz w:val="18"/>
                <w:szCs w:val="18"/>
              </w:rPr>
              <w:t>% urban</w:t>
            </w:r>
          </w:p>
        </w:tc>
      </w:tr>
      <w:tr w:rsidR="001A39CD" w14:paraId="25A3482B" w14:textId="77777777">
        <w:trPr>
          <w:trHeight w:val="288"/>
        </w:trPr>
        <w:tc>
          <w:tcPr>
            <w:tcW w:w="360" w:type="dxa"/>
            <w:vMerge w:val="restart"/>
          </w:tcPr>
          <w:p w14:paraId="75B179B7" w14:textId="77777777" w:rsidR="001A39CD" w:rsidRDefault="00646C82">
            <w:pPr>
              <w:spacing w:line="240" w:lineRule="auto"/>
              <w:ind w:left="113" w:right="113"/>
              <w:jc w:val="right"/>
              <w:rPr>
                <w:sz w:val="20"/>
                <w:szCs w:val="20"/>
              </w:rPr>
            </w:pPr>
            <w:r>
              <w:rPr>
                <w:b/>
                <w:sz w:val="20"/>
                <w:szCs w:val="20"/>
              </w:rPr>
              <w:t>MDC Regions</w:t>
            </w:r>
          </w:p>
        </w:tc>
        <w:tc>
          <w:tcPr>
            <w:tcW w:w="1800" w:type="dxa"/>
            <w:vAlign w:val="center"/>
          </w:tcPr>
          <w:p w14:paraId="3497479C" w14:textId="77777777" w:rsidR="001A39CD" w:rsidRDefault="00646C82">
            <w:pPr>
              <w:spacing w:after="0" w:line="240" w:lineRule="auto"/>
              <w:rPr>
                <w:sz w:val="20"/>
                <w:szCs w:val="20"/>
              </w:rPr>
            </w:pPr>
            <w:r>
              <w:rPr>
                <w:sz w:val="20"/>
                <w:szCs w:val="20"/>
              </w:rPr>
              <w:t>North America</w:t>
            </w:r>
          </w:p>
        </w:tc>
        <w:tc>
          <w:tcPr>
            <w:tcW w:w="1530" w:type="dxa"/>
            <w:vAlign w:val="center"/>
          </w:tcPr>
          <w:p w14:paraId="2AA300DE" w14:textId="77777777" w:rsidR="001A39CD" w:rsidRDefault="00646C82">
            <w:pPr>
              <w:spacing w:after="0" w:line="240" w:lineRule="auto"/>
              <w:jc w:val="center"/>
              <w:rPr>
                <w:sz w:val="20"/>
                <w:szCs w:val="20"/>
              </w:rPr>
            </w:pPr>
            <w:r>
              <w:rPr>
                <w:sz w:val="20"/>
                <w:szCs w:val="20"/>
              </w:rPr>
              <w:t>11</w:t>
            </w:r>
          </w:p>
        </w:tc>
        <w:tc>
          <w:tcPr>
            <w:tcW w:w="1530" w:type="dxa"/>
            <w:vAlign w:val="center"/>
          </w:tcPr>
          <w:p w14:paraId="4A650C48" w14:textId="77777777" w:rsidR="001A39CD" w:rsidRDefault="00646C82">
            <w:pPr>
              <w:spacing w:after="0" w:line="240" w:lineRule="auto"/>
              <w:jc w:val="center"/>
              <w:rPr>
                <w:sz w:val="20"/>
                <w:szCs w:val="20"/>
              </w:rPr>
            </w:pPr>
            <w:r>
              <w:rPr>
                <w:sz w:val="20"/>
                <w:szCs w:val="20"/>
              </w:rPr>
              <w:t>8</w:t>
            </w:r>
          </w:p>
        </w:tc>
        <w:tc>
          <w:tcPr>
            <w:tcW w:w="1665" w:type="dxa"/>
            <w:vAlign w:val="center"/>
          </w:tcPr>
          <w:p w14:paraId="2194F283" w14:textId="77777777" w:rsidR="001A39CD" w:rsidRDefault="00646C82">
            <w:pPr>
              <w:spacing w:after="0" w:line="240" w:lineRule="auto"/>
              <w:jc w:val="center"/>
              <w:rPr>
                <w:sz w:val="20"/>
                <w:szCs w:val="20"/>
              </w:rPr>
            </w:pPr>
            <w:r>
              <w:rPr>
                <w:sz w:val="20"/>
                <w:szCs w:val="20"/>
              </w:rPr>
              <w:t>(11 – 8) = 3/1000</w:t>
            </w:r>
          </w:p>
          <w:p w14:paraId="6A284296" w14:textId="77777777" w:rsidR="001A39CD" w:rsidRDefault="00646C82">
            <w:pPr>
              <w:spacing w:after="0" w:line="240" w:lineRule="auto"/>
              <w:jc w:val="center"/>
              <w:rPr>
                <w:sz w:val="16"/>
                <w:szCs w:val="16"/>
              </w:rPr>
            </w:pPr>
            <w:r>
              <w:rPr>
                <w:sz w:val="16"/>
                <w:szCs w:val="16"/>
              </w:rPr>
              <w:t xml:space="preserve">Move decimal one digit to left to convert to </w:t>
            </w:r>
            <w:proofErr w:type="gramStart"/>
            <w:r>
              <w:rPr>
                <w:sz w:val="16"/>
                <w:szCs w:val="16"/>
              </w:rPr>
              <w:t>percentage</w:t>
            </w:r>
            <w:proofErr w:type="gramEnd"/>
          </w:p>
          <w:p w14:paraId="258F5AC5" w14:textId="77777777" w:rsidR="001A39CD" w:rsidRDefault="00646C82">
            <w:pPr>
              <w:spacing w:after="0" w:line="240" w:lineRule="auto"/>
              <w:jc w:val="center"/>
              <w:rPr>
                <w:sz w:val="20"/>
                <w:szCs w:val="20"/>
              </w:rPr>
            </w:pPr>
            <w:r>
              <w:rPr>
                <w:sz w:val="20"/>
                <w:szCs w:val="20"/>
              </w:rPr>
              <w:t>.3% (≈</w:t>
            </w:r>
            <w:r>
              <w:rPr>
                <w:sz w:val="20"/>
                <w:szCs w:val="20"/>
              </w:rPr>
              <w:t>⅓ of 1%)</w:t>
            </w:r>
          </w:p>
        </w:tc>
        <w:tc>
          <w:tcPr>
            <w:tcW w:w="885" w:type="dxa"/>
            <w:vAlign w:val="center"/>
          </w:tcPr>
          <w:p w14:paraId="079A0F16" w14:textId="77777777" w:rsidR="001A39CD" w:rsidRDefault="00646C82">
            <w:pPr>
              <w:spacing w:after="0" w:line="240" w:lineRule="auto"/>
              <w:jc w:val="center"/>
              <w:rPr>
                <w:sz w:val="20"/>
                <w:szCs w:val="20"/>
              </w:rPr>
            </w:pPr>
            <w:r>
              <w:rPr>
                <w:sz w:val="20"/>
                <w:szCs w:val="20"/>
              </w:rPr>
              <w:t>1.7</w:t>
            </w:r>
          </w:p>
        </w:tc>
        <w:tc>
          <w:tcPr>
            <w:tcW w:w="1500" w:type="dxa"/>
            <w:vAlign w:val="center"/>
          </w:tcPr>
          <w:p w14:paraId="3C417876" w14:textId="77777777" w:rsidR="001A39CD" w:rsidRDefault="00646C82">
            <w:pPr>
              <w:spacing w:after="0" w:line="240" w:lineRule="auto"/>
              <w:jc w:val="center"/>
              <w:rPr>
                <w:sz w:val="20"/>
                <w:szCs w:val="20"/>
              </w:rPr>
            </w:pPr>
            <w:r>
              <w:rPr>
                <w:sz w:val="20"/>
                <w:szCs w:val="20"/>
              </w:rPr>
              <w:t>6</w:t>
            </w:r>
          </w:p>
        </w:tc>
        <w:tc>
          <w:tcPr>
            <w:tcW w:w="1350" w:type="dxa"/>
            <w:vAlign w:val="center"/>
          </w:tcPr>
          <w:p w14:paraId="36B72CEC" w14:textId="77777777" w:rsidR="001A39CD" w:rsidRDefault="00646C82">
            <w:pPr>
              <w:spacing w:after="0" w:line="240" w:lineRule="auto"/>
              <w:jc w:val="center"/>
              <w:rPr>
                <w:sz w:val="20"/>
                <w:szCs w:val="20"/>
              </w:rPr>
            </w:pPr>
            <w:r>
              <w:rPr>
                <w:sz w:val="20"/>
                <w:szCs w:val="20"/>
              </w:rPr>
              <w:t>$62,327</w:t>
            </w:r>
          </w:p>
        </w:tc>
        <w:tc>
          <w:tcPr>
            <w:tcW w:w="720" w:type="dxa"/>
            <w:vAlign w:val="center"/>
          </w:tcPr>
          <w:p w14:paraId="2C431C59" w14:textId="77777777" w:rsidR="001A39CD" w:rsidRDefault="00646C82">
            <w:pPr>
              <w:spacing w:after="0" w:line="240" w:lineRule="auto"/>
              <w:jc w:val="center"/>
              <w:rPr>
                <w:color w:val="000000"/>
                <w:sz w:val="20"/>
                <w:szCs w:val="20"/>
              </w:rPr>
            </w:pPr>
            <w:r>
              <w:rPr>
                <w:color w:val="000000"/>
                <w:sz w:val="20"/>
                <w:szCs w:val="20"/>
              </w:rPr>
              <w:t>82</w:t>
            </w:r>
          </w:p>
        </w:tc>
      </w:tr>
      <w:tr w:rsidR="001A39CD" w14:paraId="2F4CA8A7" w14:textId="77777777">
        <w:trPr>
          <w:trHeight w:val="288"/>
        </w:trPr>
        <w:tc>
          <w:tcPr>
            <w:tcW w:w="360" w:type="dxa"/>
            <w:vMerge/>
          </w:tcPr>
          <w:p w14:paraId="04145831" w14:textId="77777777" w:rsidR="001A39CD" w:rsidRDefault="001A39CD">
            <w:pPr>
              <w:widowControl w:val="0"/>
              <w:pBdr>
                <w:top w:val="nil"/>
                <w:left w:val="nil"/>
                <w:bottom w:val="nil"/>
                <w:right w:val="nil"/>
                <w:between w:val="nil"/>
              </w:pBdr>
              <w:spacing w:after="0"/>
              <w:rPr>
                <w:color w:val="000000"/>
                <w:sz w:val="20"/>
                <w:szCs w:val="20"/>
              </w:rPr>
            </w:pPr>
          </w:p>
        </w:tc>
        <w:tc>
          <w:tcPr>
            <w:tcW w:w="1800" w:type="dxa"/>
            <w:shd w:val="clear" w:color="auto" w:fill="auto"/>
          </w:tcPr>
          <w:p w14:paraId="1B87F69E" w14:textId="77777777" w:rsidR="001A39CD" w:rsidRDefault="00646C82">
            <w:pPr>
              <w:spacing w:line="240" w:lineRule="auto"/>
              <w:rPr>
                <w:sz w:val="20"/>
                <w:szCs w:val="20"/>
              </w:rPr>
            </w:pPr>
            <w:r>
              <w:rPr>
                <w:sz w:val="20"/>
                <w:szCs w:val="20"/>
              </w:rPr>
              <w:t>Northern Europe</w:t>
            </w:r>
          </w:p>
        </w:tc>
        <w:tc>
          <w:tcPr>
            <w:tcW w:w="1530" w:type="dxa"/>
            <w:shd w:val="clear" w:color="auto" w:fill="auto"/>
            <w:vAlign w:val="center"/>
          </w:tcPr>
          <w:p w14:paraId="4A0CC252" w14:textId="77777777" w:rsidR="001A39CD" w:rsidRDefault="00646C82">
            <w:pPr>
              <w:spacing w:line="240" w:lineRule="auto"/>
              <w:jc w:val="center"/>
              <w:rPr>
                <w:color w:val="000000"/>
                <w:sz w:val="20"/>
                <w:szCs w:val="20"/>
              </w:rPr>
            </w:pPr>
            <w:r>
              <w:rPr>
                <w:color w:val="000000"/>
                <w:sz w:val="20"/>
                <w:szCs w:val="20"/>
              </w:rPr>
              <w:t>11</w:t>
            </w:r>
          </w:p>
        </w:tc>
        <w:tc>
          <w:tcPr>
            <w:tcW w:w="1530" w:type="dxa"/>
            <w:shd w:val="clear" w:color="auto" w:fill="auto"/>
            <w:vAlign w:val="center"/>
          </w:tcPr>
          <w:p w14:paraId="6687A319" w14:textId="77777777" w:rsidR="001A39CD" w:rsidRDefault="00646C82">
            <w:pPr>
              <w:spacing w:line="240" w:lineRule="auto"/>
              <w:jc w:val="center"/>
              <w:rPr>
                <w:color w:val="000000"/>
                <w:sz w:val="20"/>
                <w:szCs w:val="20"/>
              </w:rPr>
            </w:pPr>
            <w:r>
              <w:rPr>
                <w:color w:val="000000"/>
                <w:sz w:val="20"/>
                <w:szCs w:val="20"/>
              </w:rPr>
              <w:t>9</w:t>
            </w:r>
          </w:p>
        </w:tc>
        <w:tc>
          <w:tcPr>
            <w:tcW w:w="1665" w:type="dxa"/>
            <w:shd w:val="clear" w:color="auto" w:fill="FF0000"/>
            <w:vAlign w:val="center"/>
          </w:tcPr>
          <w:p w14:paraId="7C88D1B7" w14:textId="77777777" w:rsidR="001A39CD" w:rsidRDefault="00646C82">
            <w:pPr>
              <w:spacing w:line="240" w:lineRule="auto"/>
              <w:jc w:val="center"/>
              <w:rPr>
                <w:color w:val="FFFFFF"/>
                <w:sz w:val="20"/>
                <w:szCs w:val="20"/>
              </w:rPr>
            </w:pPr>
            <w:r>
              <w:rPr>
                <w:color w:val="FFFFFF"/>
                <w:sz w:val="20"/>
                <w:szCs w:val="20"/>
              </w:rPr>
              <w:t>0.2%</w:t>
            </w:r>
          </w:p>
        </w:tc>
        <w:tc>
          <w:tcPr>
            <w:tcW w:w="885" w:type="dxa"/>
            <w:vAlign w:val="center"/>
          </w:tcPr>
          <w:p w14:paraId="27E25F4E" w14:textId="77777777" w:rsidR="001A39CD" w:rsidRDefault="00646C82">
            <w:pPr>
              <w:spacing w:line="240" w:lineRule="auto"/>
              <w:jc w:val="center"/>
              <w:rPr>
                <w:sz w:val="20"/>
                <w:szCs w:val="20"/>
              </w:rPr>
            </w:pPr>
            <w:r>
              <w:rPr>
                <w:sz w:val="20"/>
                <w:szCs w:val="20"/>
              </w:rPr>
              <w:t>1.6</w:t>
            </w:r>
          </w:p>
        </w:tc>
        <w:tc>
          <w:tcPr>
            <w:tcW w:w="1500" w:type="dxa"/>
            <w:vAlign w:val="center"/>
          </w:tcPr>
          <w:p w14:paraId="326EF6B3" w14:textId="77777777" w:rsidR="001A39CD" w:rsidRDefault="00646C82">
            <w:pPr>
              <w:spacing w:line="240" w:lineRule="auto"/>
              <w:jc w:val="center"/>
              <w:rPr>
                <w:sz w:val="20"/>
                <w:szCs w:val="20"/>
              </w:rPr>
            </w:pPr>
            <w:r>
              <w:rPr>
                <w:sz w:val="20"/>
                <w:szCs w:val="20"/>
              </w:rPr>
              <w:t>3</w:t>
            </w:r>
          </w:p>
        </w:tc>
        <w:tc>
          <w:tcPr>
            <w:tcW w:w="1350" w:type="dxa"/>
            <w:vAlign w:val="center"/>
          </w:tcPr>
          <w:p w14:paraId="65FAEFD1" w14:textId="77777777" w:rsidR="001A39CD" w:rsidRDefault="00646C82">
            <w:pPr>
              <w:spacing w:line="240" w:lineRule="auto"/>
              <w:jc w:val="center"/>
              <w:rPr>
                <w:sz w:val="20"/>
                <w:szCs w:val="20"/>
              </w:rPr>
            </w:pPr>
            <w:r>
              <w:rPr>
                <w:sz w:val="20"/>
                <w:szCs w:val="20"/>
              </w:rPr>
              <w:t>49,468</w:t>
            </w:r>
          </w:p>
        </w:tc>
        <w:tc>
          <w:tcPr>
            <w:tcW w:w="720" w:type="dxa"/>
            <w:vAlign w:val="center"/>
          </w:tcPr>
          <w:p w14:paraId="66CF0701" w14:textId="77777777" w:rsidR="001A39CD" w:rsidRDefault="00646C82">
            <w:pPr>
              <w:spacing w:line="240" w:lineRule="auto"/>
              <w:jc w:val="center"/>
              <w:rPr>
                <w:sz w:val="20"/>
                <w:szCs w:val="20"/>
              </w:rPr>
            </w:pPr>
            <w:r>
              <w:rPr>
                <w:sz w:val="20"/>
                <w:szCs w:val="20"/>
              </w:rPr>
              <w:t>82</w:t>
            </w:r>
          </w:p>
        </w:tc>
      </w:tr>
      <w:tr w:rsidR="001A39CD" w14:paraId="6BDE7994" w14:textId="77777777">
        <w:trPr>
          <w:trHeight w:val="288"/>
        </w:trPr>
        <w:tc>
          <w:tcPr>
            <w:tcW w:w="360" w:type="dxa"/>
            <w:vMerge/>
          </w:tcPr>
          <w:p w14:paraId="2AEEC8BD"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2597CBBC" w14:textId="77777777" w:rsidR="001A39CD" w:rsidRDefault="00646C82">
            <w:pPr>
              <w:spacing w:line="240" w:lineRule="auto"/>
              <w:rPr>
                <w:sz w:val="20"/>
                <w:szCs w:val="20"/>
              </w:rPr>
            </w:pPr>
            <w:r>
              <w:rPr>
                <w:sz w:val="20"/>
                <w:szCs w:val="20"/>
              </w:rPr>
              <w:t>Western Europe</w:t>
            </w:r>
          </w:p>
        </w:tc>
        <w:tc>
          <w:tcPr>
            <w:tcW w:w="1530" w:type="dxa"/>
            <w:shd w:val="clear" w:color="auto" w:fill="auto"/>
            <w:vAlign w:val="center"/>
          </w:tcPr>
          <w:p w14:paraId="4B6FB34D" w14:textId="77777777" w:rsidR="001A39CD" w:rsidRDefault="00646C82">
            <w:pPr>
              <w:spacing w:line="240" w:lineRule="auto"/>
              <w:jc w:val="center"/>
              <w:rPr>
                <w:color w:val="000000"/>
                <w:sz w:val="20"/>
                <w:szCs w:val="20"/>
              </w:rPr>
            </w:pPr>
            <w:r>
              <w:rPr>
                <w:color w:val="000000"/>
                <w:sz w:val="20"/>
                <w:szCs w:val="20"/>
              </w:rPr>
              <w:t>10</w:t>
            </w:r>
          </w:p>
        </w:tc>
        <w:tc>
          <w:tcPr>
            <w:tcW w:w="1530" w:type="dxa"/>
            <w:shd w:val="clear" w:color="auto" w:fill="auto"/>
            <w:vAlign w:val="center"/>
          </w:tcPr>
          <w:p w14:paraId="173E802B" w14:textId="77777777" w:rsidR="001A39CD" w:rsidRDefault="00646C82">
            <w:pPr>
              <w:spacing w:line="240" w:lineRule="auto"/>
              <w:jc w:val="center"/>
              <w:rPr>
                <w:color w:val="000000"/>
                <w:sz w:val="20"/>
                <w:szCs w:val="20"/>
              </w:rPr>
            </w:pPr>
            <w:r>
              <w:rPr>
                <w:color w:val="000000"/>
                <w:sz w:val="20"/>
                <w:szCs w:val="20"/>
              </w:rPr>
              <w:t>10</w:t>
            </w:r>
          </w:p>
        </w:tc>
        <w:tc>
          <w:tcPr>
            <w:tcW w:w="1665" w:type="dxa"/>
            <w:shd w:val="clear" w:color="auto" w:fill="FF0000"/>
            <w:vAlign w:val="center"/>
          </w:tcPr>
          <w:p w14:paraId="53C7BA60" w14:textId="77777777" w:rsidR="001A39CD" w:rsidRDefault="00646C82">
            <w:pPr>
              <w:spacing w:line="240" w:lineRule="auto"/>
              <w:jc w:val="center"/>
              <w:rPr>
                <w:color w:val="FFFFFF"/>
                <w:sz w:val="20"/>
                <w:szCs w:val="20"/>
              </w:rPr>
            </w:pPr>
            <w:r>
              <w:rPr>
                <w:color w:val="FFFFFF"/>
                <w:sz w:val="20"/>
                <w:szCs w:val="20"/>
              </w:rPr>
              <w:t>0.0%</w:t>
            </w:r>
          </w:p>
        </w:tc>
        <w:tc>
          <w:tcPr>
            <w:tcW w:w="885" w:type="dxa"/>
            <w:vAlign w:val="center"/>
          </w:tcPr>
          <w:p w14:paraId="3045DD07" w14:textId="77777777" w:rsidR="001A39CD" w:rsidRDefault="00646C82">
            <w:pPr>
              <w:spacing w:line="240" w:lineRule="auto"/>
              <w:jc w:val="center"/>
              <w:rPr>
                <w:sz w:val="20"/>
                <w:szCs w:val="20"/>
              </w:rPr>
            </w:pPr>
            <w:r>
              <w:rPr>
                <w:sz w:val="20"/>
                <w:szCs w:val="20"/>
              </w:rPr>
              <w:t>1.7</w:t>
            </w:r>
          </w:p>
        </w:tc>
        <w:tc>
          <w:tcPr>
            <w:tcW w:w="1500" w:type="dxa"/>
            <w:vAlign w:val="center"/>
          </w:tcPr>
          <w:p w14:paraId="033D1B75" w14:textId="77777777" w:rsidR="001A39CD" w:rsidRDefault="00646C82">
            <w:pPr>
              <w:spacing w:line="240" w:lineRule="auto"/>
              <w:jc w:val="center"/>
              <w:rPr>
                <w:sz w:val="20"/>
                <w:szCs w:val="20"/>
              </w:rPr>
            </w:pPr>
            <w:r>
              <w:rPr>
                <w:sz w:val="20"/>
                <w:szCs w:val="20"/>
              </w:rPr>
              <w:t>3</w:t>
            </w:r>
          </w:p>
        </w:tc>
        <w:tc>
          <w:tcPr>
            <w:tcW w:w="1350" w:type="dxa"/>
            <w:vAlign w:val="center"/>
          </w:tcPr>
          <w:p w14:paraId="5A52F6AC" w14:textId="77777777" w:rsidR="001A39CD" w:rsidRDefault="00646C82">
            <w:pPr>
              <w:spacing w:line="240" w:lineRule="auto"/>
              <w:jc w:val="center"/>
              <w:rPr>
                <w:sz w:val="20"/>
                <w:szCs w:val="20"/>
              </w:rPr>
            </w:pPr>
            <w:r>
              <w:rPr>
                <w:sz w:val="20"/>
                <w:szCs w:val="20"/>
              </w:rPr>
              <w:t>53,871</w:t>
            </w:r>
          </w:p>
        </w:tc>
        <w:tc>
          <w:tcPr>
            <w:tcW w:w="720" w:type="dxa"/>
            <w:vAlign w:val="center"/>
          </w:tcPr>
          <w:p w14:paraId="3BCE13E8" w14:textId="77777777" w:rsidR="001A39CD" w:rsidRDefault="00646C82">
            <w:pPr>
              <w:spacing w:line="240" w:lineRule="auto"/>
              <w:jc w:val="center"/>
              <w:rPr>
                <w:sz w:val="20"/>
                <w:szCs w:val="20"/>
              </w:rPr>
            </w:pPr>
            <w:r>
              <w:rPr>
                <w:sz w:val="20"/>
                <w:szCs w:val="20"/>
              </w:rPr>
              <w:t>80</w:t>
            </w:r>
          </w:p>
        </w:tc>
      </w:tr>
      <w:tr w:rsidR="001A39CD" w14:paraId="3A2F0983" w14:textId="77777777">
        <w:trPr>
          <w:trHeight w:val="288"/>
        </w:trPr>
        <w:tc>
          <w:tcPr>
            <w:tcW w:w="360" w:type="dxa"/>
            <w:vMerge/>
          </w:tcPr>
          <w:p w14:paraId="50EB1BD9"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6698420D" w14:textId="77777777" w:rsidR="001A39CD" w:rsidRDefault="00646C82">
            <w:pPr>
              <w:spacing w:line="240" w:lineRule="auto"/>
              <w:rPr>
                <w:sz w:val="20"/>
                <w:szCs w:val="20"/>
              </w:rPr>
            </w:pPr>
            <w:r>
              <w:rPr>
                <w:sz w:val="20"/>
                <w:szCs w:val="20"/>
              </w:rPr>
              <w:t>Eastern Europe</w:t>
            </w:r>
          </w:p>
        </w:tc>
        <w:tc>
          <w:tcPr>
            <w:tcW w:w="1530" w:type="dxa"/>
            <w:shd w:val="clear" w:color="auto" w:fill="auto"/>
            <w:vAlign w:val="center"/>
          </w:tcPr>
          <w:p w14:paraId="7A2ACDFA" w14:textId="77777777" w:rsidR="001A39CD" w:rsidRDefault="00646C82">
            <w:pPr>
              <w:spacing w:line="240" w:lineRule="auto"/>
              <w:jc w:val="center"/>
              <w:rPr>
                <w:sz w:val="20"/>
                <w:szCs w:val="20"/>
              </w:rPr>
            </w:pPr>
            <w:r>
              <w:rPr>
                <w:sz w:val="20"/>
                <w:szCs w:val="20"/>
              </w:rPr>
              <w:t>10</w:t>
            </w:r>
          </w:p>
        </w:tc>
        <w:tc>
          <w:tcPr>
            <w:tcW w:w="1530" w:type="dxa"/>
            <w:shd w:val="clear" w:color="auto" w:fill="auto"/>
            <w:vAlign w:val="center"/>
          </w:tcPr>
          <w:p w14:paraId="572CE72E" w14:textId="77777777" w:rsidR="001A39CD" w:rsidRDefault="00646C82">
            <w:pPr>
              <w:spacing w:line="240" w:lineRule="auto"/>
              <w:jc w:val="center"/>
              <w:rPr>
                <w:sz w:val="20"/>
                <w:szCs w:val="20"/>
              </w:rPr>
            </w:pPr>
            <w:r>
              <w:rPr>
                <w:sz w:val="20"/>
                <w:szCs w:val="20"/>
              </w:rPr>
              <w:t>13</w:t>
            </w:r>
          </w:p>
        </w:tc>
        <w:tc>
          <w:tcPr>
            <w:tcW w:w="1665" w:type="dxa"/>
            <w:shd w:val="clear" w:color="auto" w:fill="FF0000"/>
            <w:vAlign w:val="center"/>
          </w:tcPr>
          <w:p w14:paraId="70ADB72F" w14:textId="77777777" w:rsidR="001A39CD" w:rsidRDefault="00646C82">
            <w:pPr>
              <w:spacing w:line="240" w:lineRule="auto"/>
              <w:jc w:val="center"/>
              <w:rPr>
                <w:color w:val="FFFFFF"/>
                <w:sz w:val="20"/>
                <w:szCs w:val="20"/>
              </w:rPr>
            </w:pPr>
            <w:r>
              <w:rPr>
                <w:color w:val="FFFFFF"/>
                <w:sz w:val="20"/>
                <w:szCs w:val="20"/>
              </w:rPr>
              <w:t>-0.3%</w:t>
            </w:r>
          </w:p>
        </w:tc>
        <w:tc>
          <w:tcPr>
            <w:tcW w:w="885" w:type="dxa"/>
            <w:vAlign w:val="center"/>
          </w:tcPr>
          <w:p w14:paraId="5359805B" w14:textId="77777777" w:rsidR="001A39CD" w:rsidRDefault="00646C82">
            <w:pPr>
              <w:spacing w:line="240" w:lineRule="auto"/>
              <w:jc w:val="center"/>
              <w:rPr>
                <w:sz w:val="20"/>
                <w:szCs w:val="20"/>
              </w:rPr>
            </w:pPr>
            <w:r>
              <w:rPr>
                <w:sz w:val="20"/>
                <w:szCs w:val="20"/>
              </w:rPr>
              <w:t>1.5</w:t>
            </w:r>
          </w:p>
        </w:tc>
        <w:tc>
          <w:tcPr>
            <w:tcW w:w="1500" w:type="dxa"/>
            <w:vAlign w:val="center"/>
          </w:tcPr>
          <w:p w14:paraId="2B9E0DAF" w14:textId="77777777" w:rsidR="001A39CD" w:rsidRDefault="00646C82">
            <w:pPr>
              <w:spacing w:line="240" w:lineRule="auto"/>
              <w:jc w:val="center"/>
              <w:rPr>
                <w:sz w:val="20"/>
                <w:szCs w:val="20"/>
              </w:rPr>
            </w:pPr>
            <w:r>
              <w:rPr>
                <w:sz w:val="20"/>
                <w:szCs w:val="20"/>
              </w:rPr>
              <w:t>5</w:t>
            </w:r>
          </w:p>
        </w:tc>
        <w:tc>
          <w:tcPr>
            <w:tcW w:w="1350" w:type="dxa"/>
            <w:vAlign w:val="center"/>
          </w:tcPr>
          <w:p w14:paraId="697FB841" w14:textId="77777777" w:rsidR="001A39CD" w:rsidRDefault="00646C82">
            <w:pPr>
              <w:spacing w:line="240" w:lineRule="auto"/>
              <w:jc w:val="center"/>
              <w:rPr>
                <w:sz w:val="20"/>
                <w:szCs w:val="20"/>
              </w:rPr>
            </w:pPr>
            <w:r>
              <w:rPr>
                <w:sz w:val="20"/>
                <w:szCs w:val="20"/>
              </w:rPr>
              <w:t>25,463</w:t>
            </w:r>
          </w:p>
        </w:tc>
        <w:tc>
          <w:tcPr>
            <w:tcW w:w="720" w:type="dxa"/>
            <w:vAlign w:val="center"/>
          </w:tcPr>
          <w:p w14:paraId="63CC92F7" w14:textId="77777777" w:rsidR="001A39CD" w:rsidRDefault="00646C82">
            <w:pPr>
              <w:spacing w:line="240" w:lineRule="auto"/>
              <w:jc w:val="center"/>
              <w:rPr>
                <w:sz w:val="20"/>
                <w:szCs w:val="20"/>
              </w:rPr>
            </w:pPr>
            <w:r>
              <w:rPr>
                <w:sz w:val="20"/>
                <w:szCs w:val="20"/>
              </w:rPr>
              <w:t>70</w:t>
            </w:r>
          </w:p>
        </w:tc>
      </w:tr>
      <w:tr w:rsidR="001A39CD" w14:paraId="7A3C5B80" w14:textId="77777777">
        <w:trPr>
          <w:trHeight w:val="288"/>
        </w:trPr>
        <w:tc>
          <w:tcPr>
            <w:tcW w:w="360" w:type="dxa"/>
            <w:vMerge/>
          </w:tcPr>
          <w:p w14:paraId="398CC321"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682688FA" w14:textId="77777777" w:rsidR="001A39CD" w:rsidRDefault="00646C82">
            <w:pPr>
              <w:spacing w:line="240" w:lineRule="auto"/>
              <w:rPr>
                <w:sz w:val="20"/>
                <w:szCs w:val="20"/>
              </w:rPr>
            </w:pPr>
            <w:r>
              <w:rPr>
                <w:sz w:val="20"/>
                <w:szCs w:val="20"/>
              </w:rPr>
              <w:t>Southern Europe</w:t>
            </w:r>
          </w:p>
        </w:tc>
        <w:tc>
          <w:tcPr>
            <w:tcW w:w="1530" w:type="dxa"/>
            <w:shd w:val="clear" w:color="auto" w:fill="auto"/>
            <w:vAlign w:val="center"/>
          </w:tcPr>
          <w:p w14:paraId="2961BD4E" w14:textId="77777777" w:rsidR="001A39CD" w:rsidRDefault="00646C82">
            <w:pPr>
              <w:spacing w:line="240" w:lineRule="auto"/>
              <w:jc w:val="center"/>
              <w:rPr>
                <w:sz w:val="20"/>
                <w:szCs w:val="20"/>
              </w:rPr>
            </w:pPr>
            <w:r>
              <w:rPr>
                <w:sz w:val="20"/>
                <w:szCs w:val="20"/>
              </w:rPr>
              <w:t>8</w:t>
            </w:r>
          </w:p>
        </w:tc>
        <w:tc>
          <w:tcPr>
            <w:tcW w:w="1530" w:type="dxa"/>
            <w:shd w:val="clear" w:color="auto" w:fill="auto"/>
            <w:vAlign w:val="center"/>
          </w:tcPr>
          <w:p w14:paraId="25A8350D" w14:textId="77777777" w:rsidR="001A39CD" w:rsidRDefault="00646C82">
            <w:pPr>
              <w:spacing w:line="240" w:lineRule="auto"/>
              <w:jc w:val="center"/>
              <w:rPr>
                <w:sz w:val="20"/>
                <w:szCs w:val="20"/>
              </w:rPr>
            </w:pPr>
            <w:r>
              <w:rPr>
                <w:sz w:val="20"/>
                <w:szCs w:val="20"/>
              </w:rPr>
              <w:t>10</w:t>
            </w:r>
          </w:p>
        </w:tc>
        <w:tc>
          <w:tcPr>
            <w:tcW w:w="1665" w:type="dxa"/>
            <w:shd w:val="clear" w:color="auto" w:fill="FF0000"/>
            <w:vAlign w:val="center"/>
          </w:tcPr>
          <w:p w14:paraId="4107F3C9" w14:textId="77777777" w:rsidR="001A39CD" w:rsidRDefault="00646C82">
            <w:pPr>
              <w:spacing w:line="240" w:lineRule="auto"/>
              <w:jc w:val="center"/>
              <w:rPr>
                <w:color w:val="FFFFFF"/>
                <w:sz w:val="20"/>
                <w:szCs w:val="20"/>
              </w:rPr>
            </w:pPr>
            <w:r>
              <w:rPr>
                <w:color w:val="FFFFFF"/>
                <w:sz w:val="20"/>
                <w:szCs w:val="20"/>
              </w:rPr>
              <w:t>-0.2%</w:t>
            </w:r>
          </w:p>
        </w:tc>
        <w:tc>
          <w:tcPr>
            <w:tcW w:w="885" w:type="dxa"/>
            <w:vAlign w:val="center"/>
          </w:tcPr>
          <w:p w14:paraId="69204B78" w14:textId="77777777" w:rsidR="001A39CD" w:rsidRDefault="00646C82">
            <w:pPr>
              <w:spacing w:line="240" w:lineRule="auto"/>
              <w:jc w:val="center"/>
              <w:rPr>
                <w:sz w:val="20"/>
                <w:szCs w:val="20"/>
              </w:rPr>
            </w:pPr>
            <w:r>
              <w:rPr>
                <w:sz w:val="20"/>
                <w:szCs w:val="20"/>
              </w:rPr>
              <w:t>1.3</w:t>
            </w:r>
          </w:p>
        </w:tc>
        <w:tc>
          <w:tcPr>
            <w:tcW w:w="1500" w:type="dxa"/>
            <w:vAlign w:val="center"/>
          </w:tcPr>
          <w:p w14:paraId="16FC388D" w14:textId="77777777" w:rsidR="001A39CD" w:rsidRDefault="00646C82">
            <w:pPr>
              <w:spacing w:line="240" w:lineRule="auto"/>
              <w:jc w:val="center"/>
              <w:rPr>
                <w:sz w:val="20"/>
                <w:szCs w:val="20"/>
              </w:rPr>
            </w:pPr>
            <w:r>
              <w:rPr>
                <w:sz w:val="20"/>
                <w:szCs w:val="20"/>
              </w:rPr>
              <w:t>3</w:t>
            </w:r>
          </w:p>
        </w:tc>
        <w:tc>
          <w:tcPr>
            <w:tcW w:w="1350" w:type="dxa"/>
            <w:vAlign w:val="center"/>
          </w:tcPr>
          <w:p w14:paraId="651239A9" w14:textId="77777777" w:rsidR="001A39CD" w:rsidRDefault="00646C82">
            <w:pPr>
              <w:spacing w:line="240" w:lineRule="auto"/>
              <w:jc w:val="center"/>
              <w:rPr>
                <w:sz w:val="20"/>
                <w:szCs w:val="20"/>
              </w:rPr>
            </w:pPr>
            <w:r>
              <w:rPr>
                <w:sz w:val="20"/>
                <w:szCs w:val="20"/>
              </w:rPr>
              <w:t>37,188</w:t>
            </w:r>
          </w:p>
        </w:tc>
        <w:tc>
          <w:tcPr>
            <w:tcW w:w="720" w:type="dxa"/>
            <w:vAlign w:val="center"/>
          </w:tcPr>
          <w:p w14:paraId="073AEA54" w14:textId="77777777" w:rsidR="001A39CD" w:rsidRDefault="00646C82">
            <w:pPr>
              <w:spacing w:line="240" w:lineRule="auto"/>
              <w:jc w:val="center"/>
              <w:rPr>
                <w:sz w:val="20"/>
                <w:szCs w:val="20"/>
              </w:rPr>
            </w:pPr>
            <w:r>
              <w:rPr>
                <w:sz w:val="20"/>
                <w:szCs w:val="20"/>
              </w:rPr>
              <w:t>72</w:t>
            </w:r>
          </w:p>
        </w:tc>
      </w:tr>
      <w:tr w:rsidR="001A39CD" w14:paraId="08DABB6B" w14:textId="77777777">
        <w:trPr>
          <w:trHeight w:val="288"/>
        </w:trPr>
        <w:tc>
          <w:tcPr>
            <w:tcW w:w="360" w:type="dxa"/>
            <w:vMerge/>
          </w:tcPr>
          <w:p w14:paraId="788F262C" w14:textId="77777777" w:rsidR="001A39CD" w:rsidRDefault="001A39CD">
            <w:pPr>
              <w:widowControl w:val="0"/>
              <w:pBdr>
                <w:top w:val="nil"/>
                <w:left w:val="nil"/>
                <w:bottom w:val="nil"/>
                <w:right w:val="nil"/>
                <w:between w:val="nil"/>
              </w:pBdr>
              <w:spacing w:after="0"/>
              <w:rPr>
                <w:sz w:val="20"/>
                <w:szCs w:val="20"/>
              </w:rPr>
            </w:pPr>
          </w:p>
        </w:tc>
        <w:tc>
          <w:tcPr>
            <w:tcW w:w="1800" w:type="dxa"/>
            <w:tcBorders>
              <w:bottom w:val="single" w:sz="18" w:space="0" w:color="000000"/>
            </w:tcBorders>
            <w:shd w:val="clear" w:color="auto" w:fill="auto"/>
          </w:tcPr>
          <w:p w14:paraId="26B85CBF" w14:textId="77777777" w:rsidR="001A39CD" w:rsidRDefault="00646C82">
            <w:pPr>
              <w:spacing w:line="240" w:lineRule="auto"/>
              <w:rPr>
                <w:sz w:val="20"/>
                <w:szCs w:val="20"/>
              </w:rPr>
            </w:pPr>
            <w:r>
              <w:rPr>
                <w:sz w:val="20"/>
                <w:szCs w:val="20"/>
              </w:rPr>
              <w:t>Oceania</w:t>
            </w:r>
          </w:p>
        </w:tc>
        <w:tc>
          <w:tcPr>
            <w:tcW w:w="1530" w:type="dxa"/>
            <w:tcBorders>
              <w:bottom w:val="single" w:sz="18" w:space="0" w:color="000000"/>
            </w:tcBorders>
            <w:shd w:val="clear" w:color="auto" w:fill="auto"/>
            <w:vAlign w:val="center"/>
          </w:tcPr>
          <w:p w14:paraId="09CAE17C" w14:textId="77777777" w:rsidR="001A39CD" w:rsidRDefault="00646C82">
            <w:pPr>
              <w:spacing w:line="240" w:lineRule="auto"/>
              <w:jc w:val="center"/>
              <w:rPr>
                <w:sz w:val="20"/>
                <w:szCs w:val="20"/>
              </w:rPr>
            </w:pPr>
            <w:r>
              <w:rPr>
                <w:sz w:val="20"/>
                <w:szCs w:val="20"/>
              </w:rPr>
              <w:t>17</w:t>
            </w:r>
          </w:p>
        </w:tc>
        <w:tc>
          <w:tcPr>
            <w:tcW w:w="1530" w:type="dxa"/>
            <w:tcBorders>
              <w:bottom w:val="single" w:sz="18" w:space="0" w:color="000000"/>
            </w:tcBorders>
            <w:shd w:val="clear" w:color="auto" w:fill="auto"/>
            <w:vAlign w:val="center"/>
          </w:tcPr>
          <w:p w14:paraId="4738FA35" w14:textId="77777777" w:rsidR="001A39CD" w:rsidRDefault="00646C82">
            <w:pPr>
              <w:spacing w:line="240" w:lineRule="auto"/>
              <w:jc w:val="center"/>
              <w:rPr>
                <w:sz w:val="20"/>
                <w:szCs w:val="20"/>
              </w:rPr>
            </w:pPr>
            <w:r>
              <w:rPr>
                <w:sz w:val="20"/>
                <w:szCs w:val="20"/>
              </w:rPr>
              <w:t>7</w:t>
            </w:r>
          </w:p>
        </w:tc>
        <w:tc>
          <w:tcPr>
            <w:tcW w:w="1665" w:type="dxa"/>
            <w:tcBorders>
              <w:bottom w:val="single" w:sz="18" w:space="0" w:color="000000"/>
            </w:tcBorders>
            <w:shd w:val="clear" w:color="auto" w:fill="FF0000"/>
            <w:vAlign w:val="center"/>
          </w:tcPr>
          <w:p w14:paraId="6FE3AAE1" w14:textId="77777777" w:rsidR="001A39CD" w:rsidRDefault="00646C82">
            <w:pPr>
              <w:spacing w:line="240" w:lineRule="auto"/>
              <w:jc w:val="center"/>
              <w:rPr>
                <w:color w:val="FFFFFF"/>
                <w:sz w:val="20"/>
                <w:szCs w:val="20"/>
              </w:rPr>
            </w:pPr>
            <w:r>
              <w:rPr>
                <w:color w:val="FFFFFF"/>
                <w:sz w:val="20"/>
                <w:szCs w:val="20"/>
              </w:rPr>
              <w:t>1.0%</w:t>
            </w:r>
          </w:p>
        </w:tc>
        <w:tc>
          <w:tcPr>
            <w:tcW w:w="885" w:type="dxa"/>
            <w:tcBorders>
              <w:bottom w:val="single" w:sz="18" w:space="0" w:color="000000"/>
            </w:tcBorders>
            <w:vAlign w:val="center"/>
          </w:tcPr>
          <w:p w14:paraId="0C1F5B99" w14:textId="77777777" w:rsidR="001A39CD" w:rsidRDefault="00646C82">
            <w:pPr>
              <w:spacing w:line="240" w:lineRule="auto"/>
              <w:jc w:val="center"/>
              <w:rPr>
                <w:sz w:val="20"/>
                <w:szCs w:val="20"/>
              </w:rPr>
            </w:pPr>
            <w:r>
              <w:rPr>
                <w:sz w:val="20"/>
                <w:szCs w:val="20"/>
              </w:rPr>
              <w:t>2.3</w:t>
            </w:r>
          </w:p>
        </w:tc>
        <w:tc>
          <w:tcPr>
            <w:tcW w:w="1500" w:type="dxa"/>
            <w:tcBorders>
              <w:bottom w:val="single" w:sz="18" w:space="0" w:color="000000"/>
            </w:tcBorders>
            <w:vAlign w:val="center"/>
          </w:tcPr>
          <w:p w14:paraId="2A09B8C0" w14:textId="77777777" w:rsidR="001A39CD" w:rsidRDefault="00646C82">
            <w:pPr>
              <w:spacing w:line="240" w:lineRule="auto"/>
              <w:jc w:val="center"/>
              <w:rPr>
                <w:sz w:val="20"/>
                <w:szCs w:val="20"/>
              </w:rPr>
            </w:pPr>
            <w:r>
              <w:rPr>
                <w:sz w:val="20"/>
                <w:szCs w:val="20"/>
              </w:rPr>
              <w:t>16</w:t>
            </w:r>
          </w:p>
        </w:tc>
        <w:tc>
          <w:tcPr>
            <w:tcW w:w="1350" w:type="dxa"/>
            <w:tcBorders>
              <w:bottom w:val="single" w:sz="18" w:space="0" w:color="000000"/>
            </w:tcBorders>
            <w:vAlign w:val="center"/>
          </w:tcPr>
          <w:p w14:paraId="5201721E" w14:textId="77777777" w:rsidR="001A39CD" w:rsidRDefault="00646C82">
            <w:pPr>
              <w:spacing w:line="240" w:lineRule="auto"/>
              <w:jc w:val="center"/>
              <w:rPr>
                <w:sz w:val="20"/>
                <w:szCs w:val="20"/>
              </w:rPr>
            </w:pPr>
            <w:r>
              <w:rPr>
                <w:sz w:val="20"/>
                <w:szCs w:val="20"/>
              </w:rPr>
              <w:t>36,264</w:t>
            </w:r>
          </w:p>
        </w:tc>
        <w:tc>
          <w:tcPr>
            <w:tcW w:w="720" w:type="dxa"/>
            <w:tcBorders>
              <w:bottom w:val="single" w:sz="18" w:space="0" w:color="000000"/>
            </w:tcBorders>
            <w:vAlign w:val="center"/>
          </w:tcPr>
          <w:p w14:paraId="1C83D6F8" w14:textId="77777777" w:rsidR="001A39CD" w:rsidRDefault="00646C82">
            <w:pPr>
              <w:spacing w:line="240" w:lineRule="auto"/>
              <w:jc w:val="center"/>
              <w:rPr>
                <w:sz w:val="20"/>
                <w:szCs w:val="20"/>
              </w:rPr>
            </w:pPr>
            <w:r>
              <w:rPr>
                <w:sz w:val="20"/>
                <w:szCs w:val="20"/>
              </w:rPr>
              <w:t>68</w:t>
            </w:r>
          </w:p>
        </w:tc>
      </w:tr>
      <w:tr w:rsidR="001A39CD" w14:paraId="50E77354" w14:textId="77777777">
        <w:trPr>
          <w:trHeight w:val="288"/>
        </w:trPr>
        <w:tc>
          <w:tcPr>
            <w:tcW w:w="360" w:type="dxa"/>
            <w:vMerge w:val="restart"/>
            <w:tcBorders>
              <w:top w:val="single" w:sz="18" w:space="0" w:color="000000"/>
            </w:tcBorders>
            <w:shd w:val="clear" w:color="auto" w:fill="auto"/>
          </w:tcPr>
          <w:p w14:paraId="4A54AABF" w14:textId="77777777" w:rsidR="001A39CD" w:rsidRDefault="00646C82">
            <w:pPr>
              <w:spacing w:line="240" w:lineRule="auto"/>
              <w:ind w:left="113" w:right="113"/>
              <w:jc w:val="center"/>
              <w:rPr>
                <w:sz w:val="20"/>
                <w:szCs w:val="20"/>
              </w:rPr>
            </w:pPr>
            <w:r>
              <w:rPr>
                <w:b/>
                <w:sz w:val="20"/>
                <w:szCs w:val="20"/>
              </w:rPr>
              <w:t>“LDC” Regions</w:t>
            </w:r>
          </w:p>
        </w:tc>
        <w:tc>
          <w:tcPr>
            <w:tcW w:w="1800" w:type="dxa"/>
            <w:tcBorders>
              <w:top w:val="single" w:sz="18" w:space="0" w:color="000000"/>
            </w:tcBorders>
            <w:shd w:val="clear" w:color="auto" w:fill="auto"/>
          </w:tcPr>
          <w:p w14:paraId="2D27480A" w14:textId="77777777" w:rsidR="001A39CD" w:rsidRDefault="00646C82">
            <w:pPr>
              <w:spacing w:line="240" w:lineRule="auto"/>
              <w:rPr>
                <w:sz w:val="20"/>
                <w:szCs w:val="20"/>
              </w:rPr>
            </w:pPr>
            <w:r>
              <w:rPr>
                <w:sz w:val="20"/>
                <w:szCs w:val="20"/>
              </w:rPr>
              <w:t>Northern Africa</w:t>
            </w:r>
          </w:p>
        </w:tc>
        <w:tc>
          <w:tcPr>
            <w:tcW w:w="1530" w:type="dxa"/>
            <w:tcBorders>
              <w:top w:val="single" w:sz="18" w:space="0" w:color="000000"/>
            </w:tcBorders>
            <w:shd w:val="clear" w:color="auto" w:fill="auto"/>
            <w:vAlign w:val="center"/>
          </w:tcPr>
          <w:p w14:paraId="57037BA0" w14:textId="77777777" w:rsidR="001A39CD" w:rsidRDefault="00646C82">
            <w:pPr>
              <w:spacing w:line="240" w:lineRule="auto"/>
              <w:jc w:val="center"/>
              <w:rPr>
                <w:color w:val="FF0000"/>
                <w:sz w:val="20"/>
                <w:szCs w:val="20"/>
              </w:rPr>
            </w:pPr>
            <w:r>
              <w:rPr>
                <w:sz w:val="20"/>
                <w:szCs w:val="20"/>
              </w:rPr>
              <w:t>24</w:t>
            </w:r>
          </w:p>
        </w:tc>
        <w:tc>
          <w:tcPr>
            <w:tcW w:w="1530" w:type="dxa"/>
            <w:tcBorders>
              <w:top w:val="single" w:sz="18" w:space="0" w:color="000000"/>
            </w:tcBorders>
            <w:shd w:val="clear" w:color="auto" w:fill="auto"/>
            <w:vAlign w:val="center"/>
          </w:tcPr>
          <w:p w14:paraId="3BAA9AB8" w14:textId="77777777" w:rsidR="001A39CD" w:rsidRDefault="00646C82">
            <w:pPr>
              <w:spacing w:line="240" w:lineRule="auto"/>
              <w:jc w:val="center"/>
              <w:rPr>
                <w:color w:val="FF0000"/>
                <w:sz w:val="20"/>
                <w:szCs w:val="20"/>
              </w:rPr>
            </w:pPr>
            <w:r>
              <w:rPr>
                <w:sz w:val="20"/>
                <w:szCs w:val="20"/>
              </w:rPr>
              <w:t>6</w:t>
            </w:r>
          </w:p>
        </w:tc>
        <w:tc>
          <w:tcPr>
            <w:tcW w:w="1665" w:type="dxa"/>
            <w:tcBorders>
              <w:top w:val="single" w:sz="18" w:space="0" w:color="000000"/>
            </w:tcBorders>
            <w:shd w:val="clear" w:color="auto" w:fill="FF0000"/>
            <w:vAlign w:val="center"/>
          </w:tcPr>
          <w:p w14:paraId="1AFE4669" w14:textId="77777777" w:rsidR="001A39CD" w:rsidRDefault="00646C82">
            <w:pPr>
              <w:spacing w:line="240" w:lineRule="auto"/>
              <w:jc w:val="center"/>
              <w:rPr>
                <w:color w:val="FFFFFF"/>
                <w:sz w:val="20"/>
                <w:szCs w:val="20"/>
              </w:rPr>
            </w:pPr>
            <w:r>
              <w:rPr>
                <w:color w:val="FFFFFF"/>
                <w:sz w:val="20"/>
                <w:szCs w:val="20"/>
              </w:rPr>
              <w:t>1.8%</w:t>
            </w:r>
          </w:p>
        </w:tc>
        <w:tc>
          <w:tcPr>
            <w:tcW w:w="885" w:type="dxa"/>
            <w:tcBorders>
              <w:top w:val="single" w:sz="18" w:space="0" w:color="000000"/>
            </w:tcBorders>
            <w:vAlign w:val="center"/>
          </w:tcPr>
          <w:p w14:paraId="27DFDB26" w14:textId="77777777" w:rsidR="001A39CD" w:rsidRDefault="00646C82">
            <w:pPr>
              <w:spacing w:line="240" w:lineRule="auto"/>
              <w:jc w:val="center"/>
              <w:rPr>
                <w:color w:val="FF0000"/>
                <w:sz w:val="20"/>
                <w:szCs w:val="20"/>
              </w:rPr>
            </w:pPr>
            <w:r>
              <w:rPr>
                <w:sz w:val="20"/>
                <w:szCs w:val="20"/>
              </w:rPr>
              <w:t>3.0</w:t>
            </w:r>
          </w:p>
        </w:tc>
        <w:tc>
          <w:tcPr>
            <w:tcW w:w="1500" w:type="dxa"/>
            <w:tcBorders>
              <w:top w:val="single" w:sz="18" w:space="0" w:color="000000"/>
            </w:tcBorders>
            <w:vAlign w:val="center"/>
          </w:tcPr>
          <w:p w14:paraId="51E712B3" w14:textId="77777777" w:rsidR="001A39CD" w:rsidRDefault="00646C82">
            <w:pPr>
              <w:spacing w:line="240" w:lineRule="auto"/>
              <w:jc w:val="center"/>
              <w:rPr>
                <w:sz w:val="20"/>
                <w:szCs w:val="20"/>
              </w:rPr>
            </w:pPr>
            <w:r>
              <w:rPr>
                <w:sz w:val="20"/>
                <w:szCs w:val="20"/>
              </w:rPr>
              <w:t>23</w:t>
            </w:r>
          </w:p>
        </w:tc>
        <w:tc>
          <w:tcPr>
            <w:tcW w:w="1350" w:type="dxa"/>
            <w:tcBorders>
              <w:top w:val="single" w:sz="18" w:space="0" w:color="000000"/>
            </w:tcBorders>
            <w:vAlign w:val="center"/>
          </w:tcPr>
          <w:p w14:paraId="28C54B53" w14:textId="77777777" w:rsidR="001A39CD" w:rsidRDefault="00646C82">
            <w:pPr>
              <w:spacing w:line="240" w:lineRule="auto"/>
              <w:jc w:val="center"/>
              <w:rPr>
                <w:sz w:val="20"/>
                <w:szCs w:val="20"/>
              </w:rPr>
            </w:pPr>
            <w:r>
              <w:rPr>
                <w:sz w:val="20"/>
                <w:szCs w:val="20"/>
              </w:rPr>
              <w:t>9.741</w:t>
            </w:r>
          </w:p>
        </w:tc>
        <w:tc>
          <w:tcPr>
            <w:tcW w:w="720" w:type="dxa"/>
            <w:tcBorders>
              <w:top w:val="single" w:sz="18" w:space="0" w:color="000000"/>
            </w:tcBorders>
            <w:vAlign w:val="center"/>
          </w:tcPr>
          <w:p w14:paraId="33E77104" w14:textId="77777777" w:rsidR="001A39CD" w:rsidRDefault="00646C82">
            <w:pPr>
              <w:spacing w:line="240" w:lineRule="auto"/>
              <w:jc w:val="center"/>
              <w:rPr>
                <w:sz w:val="20"/>
                <w:szCs w:val="20"/>
              </w:rPr>
            </w:pPr>
            <w:r>
              <w:rPr>
                <w:sz w:val="20"/>
                <w:szCs w:val="20"/>
              </w:rPr>
              <w:t>53</w:t>
            </w:r>
          </w:p>
        </w:tc>
      </w:tr>
      <w:tr w:rsidR="001A39CD" w14:paraId="1147B4B2" w14:textId="77777777">
        <w:trPr>
          <w:trHeight w:val="288"/>
        </w:trPr>
        <w:tc>
          <w:tcPr>
            <w:tcW w:w="360" w:type="dxa"/>
            <w:vMerge/>
            <w:tcBorders>
              <w:top w:val="single" w:sz="18" w:space="0" w:color="000000"/>
            </w:tcBorders>
            <w:shd w:val="clear" w:color="auto" w:fill="auto"/>
          </w:tcPr>
          <w:p w14:paraId="5A40454A"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6EAF17AC" w14:textId="77777777" w:rsidR="001A39CD" w:rsidRDefault="00646C82">
            <w:pPr>
              <w:spacing w:line="240" w:lineRule="auto"/>
              <w:rPr>
                <w:sz w:val="20"/>
                <w:szCs w:val="20"/>
              </w:rPr>
            </w:pPr>
            <w:r>
              <w:rPr>
                <w:sz w:val="20"/>
                <w:szCs w:val="20"/>
              </w:rPr>
              <w:t>Sub-Saharan Africa</w:t>
            </w:r>
          </w:p>
        </w:tc>
        <w:tc>
          <w:tcPr>
            <w:tcW w:w="1530" w:type="dxa"/>
            <w:shd w:val="clear" w:color="auto" w:fill="auto"/>
            <w:vAlign w:val="center"/>
          </w:tcPr>
          <w:p w14:paraId="4E2C21FC" w14:textId="77777777" w:rsidR="001A39CD" w:rsidRDefault="00646C82">
            <w:pPr>
              <w:spacing w:line="240" w:lineRule="auto"/>
              <w:jc w:val="center"/>
              <w:rPr>
                <w:color w:val="FF0000"/>
                <w:sz w:val="20"/>
                <w:szCs w:val="20"/>
              </w:rPr>
            </w:pPr>
            <w:r>
              <w:rPr>
                <w:sz w:val="20"/>
                <w:szCs w:val="20"/>
              </w:rPr>
              <w:t>36</w:t>
            </w:r>
          </w:p>
        </w:tc>
        <w:tc>
          <w:tcPr>
            <w:tcW w:w="1530" w:type="dxa"/>
            <w:shd w:val="clear" w:color="auto" w:fill="auto"/>
            <w:vAlign w:val="center"/>
          </w:tcPr>
          <w:p w14:paraId="0E20AE2C" w14:textId="77777777" w:rsidR="001A39CD" w:rsidRDefault="00646C82">
            <w:pPr>
              <w:spacing w:line="240" w:lineRule="auto"/>
              <w:jc w:val="center"/>
              <w:rPr>
                <w:color w:val="FF0000"/>
                <w:sz w:val="20"/>
                <w:szCs w:val="20"/>
              </w:rPr>
            </w:pPr>
            <w:r>
              <w:rPr>
                <w:sz w:val="20"/>
                <w:szCs w:val="20"/>
              </w:rPr>
              <w:t>9</w:t>
            </w:r>
          </w:p>
        </w:tc>
        <w:tc>
          <w:tcPr>
            <w:tcW w:w="1665" w:type="dxa"/>
            <w:shd w:val="clear" w:color="auto" w:fill="FF0000"/>
            <w:vAlign w:val="center"/>
          </w:tcPr>
          <w:p w14:paraId="16C6777F" w14:textId="77777777" w:rsidR="001A39CD" w:rsidRDefault="00646C82">
            <w:pPr>
              <w:spacing w:line="240" w:lineRule="auto"/>
              <w:jc w:val="center"/>
              <w:rPr>
                <w:color w:val="FFFFFF"/>
                <w:sz w:val="20"/>
                <w:szCs w:val="20"/>
              </w:rPr>
            </w:pPr>
            <w:r>
              <w:rPr>
                <w:color w:val="FFFFFF"/>
                <w:sz w:val="20"/>
                <w:szCs w:val="20"/>
              </w:rPr>
              <w:t>2.7%</w:t>
            </w:r>
          </w:p>
        </w:tc>
        <w:tc>
          <w:tcPr>
            <w:tcW w:w="885" w:type="dxa"/>
            <w:vAlign w:val="center"/>
          </w:tcPr>
          <w:p w14:paraId="56E30EBD" w14:textId="77777777" w:rsidR="001A39CD" w:rsidRDefault="00646C82">
            <w:pPr>
              <w:spacing w:line="240" w:lineRule="auto"/>
              <w:jc w:val="center"/>
              <w:rPr>
                <w:sz w:val="20"/>
                <w:szCs w:val="20"/>
              </w:rPr>
            </w:pPr>
            <w:r>
              <w:rPr>
                <w:sz w:val="20"/>
                <w:szCs w:val="20"/>
              </w:rPr>
              <w:t>4.8</w:t>
            </w:r>
          </w:p>
        </w:tc>
        <w:tc>
          <w:tcPr>
            <w:tcW w:w="1500" w:type="dxa"/>
            <w:vAlign w:val="center"/>
          </w:tcPr>
          <w:p w14:paraId="5FB94D10" w14:textId="77777777" w:rsidR="001A39CD" w:rsidRDefault="00646C82">
            <w:pPr>
              <w:spacing w:line="240" w:lineRule="auto"/>
              <w:jc w:val="center"/>
              <w:rPr>
                <w:sz w:val="20"/>
                <w:szCs w:val="20"/>
              </w:rPr>
            </w:pPr>
            <w:r>
              <w:rPr>
                <w:sz w:val="20"/>
                <w:szCs w:val="20"/>
              </w:rPr>
              <w:t>53</w:t>
            </w:r>
          </w:p>
        </w:tc>
        <w:tc>
          <w:tcPr>
            <w:tcW w:w="1350" w:type="dxa"/>
            <w:vAlign w:val="center"/>
          </w:tcPr>
          <w:p w14:paraId="62CE47EF" w14:textId="77777777" w:rsidR="001A39CD" w:rsidRDefault="00646C82">
            <w:pPr>
              <w:spacing w:line="240" w:lineRule="auto"/>
              <w:jc w:val="center"/>
              <w:rPr>
                <w:sz w:val="20"/>
                <w:szCs w:val="20"/>
              </w:rPr>
            </w:pPr>
            <w:r>
              <w:rPr>
                <w:sz w:val="20"/>
                <w:szCs w:val="20"/>
              </w:rPr>
              <w:t>3,667</w:t>
            </w:r>
          </w:p>
        </w:tc>
        <w:tc>
          <w:tcPr>
            <w:tcW w:w="720" w:type="dxa"/>
            <w:vAlign w:val="center"/>
          </w:tcPr>
          <w:p w14:paraId="1EAA95F6" w14:textId="77777777" w:rsidR="001A39CD" w:rsidRDefault="00646C82">
            <w:pPr>
              <w:spacing w:line="240" w:lineRule="auto"/>
              <w:jc w:val="center"/>
              <w:rPr>
                <w:sz w:val="20"/>
                <w:szCs w:val="20"/>
              </w:rPr>
            </w:pPr>
            <w:r>
              <w:rPr>
                <w:sz w:val="20"/>
                <w:szCs w:val="20"/>
              </w:rPr>
              <w:t>41</w:t>
            </w:r>
          </w:p>
        </w:tc>
      </w:tr>
      <w:tr w:rsidR="001A39CD" w14:paraId="5606CADE" w14:textId="77777777">
        <w:trPr>
          <w:trHeight w:val="288"/>
        </w:trPr>
        <w:tc>
          <w:tcPr>
            <w:tcW w:w="360" w:type="dxa"/>
            <w:vMerge/>
            <w:tcBorders>
              <w:top w:val="single" w:sz="18" w:space="0" w:color="000000"/>
            </w:tcBorders>
            <w:shd w:val="clear" w:color="auto" w:fill="auto"/>
          </w:tcPr>
          <w:p w14:paraId="06EBB83B"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1C075F51" w14:textId="77777777" w:rsidR="001A39CD" w:rsidRDefault="00646C82">
            <w:pPr>
              <w:spacing w:line="240" w:lineRule="auto"/>
              <w:rPr>
                <w:sz w:val="20"/>
                <w:szCs w:val="20"/>
              </w:rPr>
            </w:pPr>
            <w:r>
              <w:rPr>
                <w:sz w:val="20"/>
                <w:szCs w:val="20"/>
              </w:rPr>
              <w:t>Latin America and the Caribbean</w:t>
            </w:r>
          </w:p>
        </w:tc>
        <w:tc>
          <w:tcPr>
            <w:tcW w:w="1530" w:type="dxa"/>
            <w:shd w:val="clear" w:color="auto" w:fill="auto"/>
            <w:vAlign w:val="center"/>
          </w:tcPr>
          <w:p w14:paraId="61E05C86" w14:textId="77777777" w:rsidR="001A39CD" w:rsidRDefault="00646C82">
            <w:pPr>
              <w:spacing w:line="240" w:lineRule="auto"/>
              <w:jc w:val="center"/>
              <w:rPr>
                <w:color w:val="000000"/>
                <w:sz w:val="20"/>
                <w:szCs w:val="20"/>
              </w:rPr>
            </w:pPr>
            <w:r>
              <w:rPr>
                <w:color w:val="000000"/>
                <w:sz w:val="20"/>
                <w:szCs w:val="20"/>
              </w:rPr>
              <w:t>16</w:t>
            </w:r>
          </w:p>
        </w:tc>
        <w:tc>
          <w:tcPr>
            <w:tcW w:w="1530" w:type="dxa"/>
            <w:shd w:val="clear" w:color="auto" w:fill="auto"/>
            <w:vAlign w:val="center"/>
          </w:tcPr>
          <w:p w14:paraId="774A600F" w14:textId="77777777" w:rsidR="001A39CD" w:rsidRDefault="00646C82">
            <w:pPr>
              <w:spacing w:line="240" w:lineRule="auto"/>
              <w:jc w:val="center"/>
              <w:rPr>
                <w:color w:val="000000"/>
                <w:sz w:val="20"/>
                <w:szCs w:val="20"/>
              </w:rPr>
            </w:pPr>
            <w:r>
              <w:rPr>
                <w:color w:val="000000"/>
                <w:sz w:val="20"/>
                <w:szCs w:val="20"/>
              </w:rPr>
              <w:t>6</w:t>
            </w:r>
          </w:p>
        </w:tc>
        <w:tc>
          <w:tcPr>
            <w:tcW w:w="1665" w:type="dxa"/>
            <w:shd w:val="clear" w:color="auto" w:fill="FF0000"/>
            <w:vAlign w:val="center"/>
          </w:tcPr>
          <w:p w14:paraId="7B54286A" w14:textId="77777777" w:rsidR="001A39CD" w:rsidRDefault="00646C82">
            <w:pPr>
              <w:spacing w:line="240" w:lineRule="auto"/>
              <w:jc w:val="center"/>
              <w:rPr>
                <w:color w:val="FFFFFF"/>
                <w:sz w:val="20"/>
                <w:szCs w:val="20"/>
              </w:rPr>
            </w:pPr>
            <w:r>
              <w:rPr>
                <w:color w:val="FFFFFF"/>
                <w:sz w:val="20"/>
                <w:szCs w:val="20"/>
              </w:rPr>
              <w:t>1.0%</w:t>
            </w:r>
          </w:p>
        </w:tc>
        <w:tc>
          <w:tcPr>
            <w:tcW w:w="885" w:type="dxa"/>
            <w:vAlign w:val="center"/>
          </w:tcPr>
          <w:p w14:paraId="669F6C35" w14:textId="77777777" w:rsidR="001A39CD" w:rsidRDefault="00646C82">
            <w:pPr>
              <w:spacing w:line="240" w:lineRule="auto"/>
              <w:jc w:val="center"/>
              <w:rPr>
                <w:color w:val="000000"/>
                <w:sz w:val="20"/>
                <w:szCs w:val="20"/>
              </w:rPr>
            </w:pPr>
            <w:r>
              <w:rPr>
                <w:color w:val="000000"/>
                <w:sz w:val="20"/>
                <w:szCs w:val="20"/>
              </w:rPr>
              <w:t>2.0</w:t>
            </w:r>
          </w:p>
        </w:tc>
        <w:tc>
          <w:tcPr>
            <w:tcW w:w="1500" w:type="dxa"/>
            <w:vAlign w:val="center"/>
          </w:tcPr>
          <w:p w14:paraId="0D071748" w14:textId="77777777" w:rsidR="001A39CD" w:rsidRDefault="00646C82">
            <w:pPr>
              <w:spacing w:line="240" w:lineRule="auto"/>
              <w:jc w:val="center"/>
              <w:rPr>
                <w:color w:val="000000"/>
                <w:sz w:val="20"/>
                <w:szCs w:val="20"/>
              </w:rPr>
            </w:pPr>
            <w:r>
              <w:rPr>
                <w:color w:val="000000"/>
                <w:sz w:val="20"/>
                <w:szCs w:val="20"/>
              </w:rPr>
              <w:t>14</w:t>
            </w:r>
          </w:p>
        </w:tc>
        <w:tc>
          <w:tcPr>
            <w:tcW w:w="1350" w:type="dxa"/>
            <w:vAlign w:val="center"/>
          </w:tcPr>
          <w:p w14:paraId="6414D974" w14:textId="77777777" w:rsidR="001A39CD" w:rsidRDefault="00646C82">
            <w:pPr>
              <w:spacing w:line="240" w:lineRule="auto"/>
              <w:jc w:val="center"/>
              <w:rPr>
                <w:color w:val="000000"/>
                <w:sz w:val="20"/>
                <w:szCs w:val="20"/>
              </w:rPr>
            </w:pPr>
            <w:r>
              <w:rPr>
                <w:color w:val="000000"/>
                <w:sz w:val="20"/>
                <w:szCs w:val="20"/>
              </w:rPr>
              <w:t>15,944</w:t>
            </w:r>
          </w:p>
        </w:tc>
        <w:tc>
          <w:tcPr>
            <w:tcW w:w="720" w:type="dxa"/>
            <w:vAlign w:val="center"/>
          </w:tcPr>
          <w:p w14:paraId="0EE72F1B" w14:textId="77777777" w:rsidR="001A39CD" w:rsidRDefault="00646C82">
            <w:pPr>
              <w:spacing w:line="240" w:lineRule="auto"/>
              <w:jc w:val="center"/>
              <w:rPr>
                <w:color w:val="000000"/>
                <w:sz w:val="20"/>
                <w:szCs w:val="20"/>
              </w:rPr>
            </w:pPr>
            <w:r>
              <w:rPr>
                <w:color w:val="000000"/>
                <w:sz w:val="20"/>
                <w:szCs w:val="20"/>
              </w:rPr>
              <w:t>79</w:t>
            </w:r>
          </w:p>
        </w:tc>
      </w:tr>
      <w:tr w:rsidR="001A39CD" w14:paraId="75667477" w14:textId="77777777">
        <w:trPr>
          <w:trHeight w:val="288"/>
        </w:trPr>
        <w:tc>
          <w:tcPr>
            <w:tcW w:w="360" w:type="dxa"/>
            <w:vMerge/>
            <w:tcBorders>
              <w:top w:val="single" w:sz="18" w:space="0" w:color="000000"/>
            </w:tcBorders>
            <w:shd w:val="clear" w:color="auto" w:fill="auto"/>
          </w:tcPr>
          <w:p w14:paraId="5DA178FE" w14:textId="77777777" w:rsidR="001A39CD" w:rsidRDefault="001A39CD">
            <w:pPr>
              <w:widowControl w:val="0"/>
              <w:pBdr>
                <w:top w:val="nil"/>
                <w:left w:val="nil"/>
                <w:bottom w:val="nil"/>
                <w:right w:val="nil"/>
                <w:between w:val="nil"/>
              </w:pBdr>
              <w:spacing w:after="0"/>
              <w:rPr>
                <w:color w:val="000000"/>
                <w:sz w:val="20"/>
                <w:szCs w:val="20"/>
              </w:rPr>
            </w:pPr>
          </w:p>
        </w:tc>
        <w:tc>
          <w:tcPr>
            <w:tcW w:w="1800" w:type="dxa"/>
            <w:shd w:val="clear" w:color="auto" w:fill="auto"/>
          </w:tcPr>
          <w:p w14:paraId="16AB9A04" w14:textId="77777777" w:rsidR="001A39CD" w:rsidRDefault="00646C82">
            <w:pPr>
              <w:spacing w:line="240" w:lineRule="auto"/>
              <w:rPr>
                <w:sz w:val="20"/>
                <w:szCs w:val="20"/>
              </w:rPr>
            </w:pPr>
            <w:r>
              <w:rPr>
                <w:sz w:val="20"/>
                <w:szCs w:val="20"/>
              </w:rPr>
              <w:t>Southwest Asia</w:t>
            </w:r>
          </w:p>
        </w:tc>
        <w:tc>
          <w:tcPr>
            <w:tcW w:w="1530" w:type="dxa"/>
            <w:shd w:val="clear" w:color="auto" w:fill="auto"/>
            <w:vAlign w:val="center"/>
          </w:tcPr>
          <w:p w14:paraId="50405AF4" w14:textId="77777777" w:rsidR="001A39CD" w:rsidRDefault="00646C82">
            <w:pPr>
              <w:spacing w:line="240" w:lineRule="auto"/>
              <w:jc w:val="center"/>
              <w:rPr>
                <w:sz w:val="20"/>
                <w:szCs w:val="20"/>
              </w:rPr>
            </w:pPr>
            <w:r>
              <w:rPr>
                <w:sz w:val="20"/>
                <w:szCs w:val="20"/>
              </w:rPr>
              <w:t>20</w:t>
            </w:r>
          </w:p>
        </w:tc>
        <w:tc>
          <w:tcPr>
            <w:tcW w:w="1530" w:type="dxa"/>
            <w:shd w:val="clear" w:color="auto" w:fill="auto"/>
            <w:vAlign w:val="center"/>
          </w:tcPr>
          <w:p w14:paraId="4FEE11C4" w14:textId="77777777" w:rsidR="001A39CD" w:rsidRDefault="00646C82">
            <w:pPr>
              <w:spacing w:line="240" w:lineRule="auto"/>
              <w:jc w:val="center"/>
              <w:rPr>
                <w:sz w:val="20"/>
                <w:szCs w:val="20"/>
              </w:rPr>
            </w:pPr>
            <w:r>
              <w:rPr>
                <w:sz w:val="20"/>
                <w:szCs w:val="20"/>
              </w:rPr>
              <w:t>5</w:t>
            </w:r>
          </w:p>
        </w:tc>
        <w:tc>
          <w:tcPr>
            <w:tcW w:w="1665" w:type="dxa"/>
            <w:shd w:val="clear" w:color="auto" w:fill="FF0000"/>
            <w:vAlign w:val="center"/>
          </w:tcPr>
          <w:p w14:paraId="7B2C5ED9" w14:textId="77777777" w:rsidR="001A39CD" w:rsidRDefault="00646C82">
            <w:pPr>
              <w:spacing w:line="240" w:lineRule="auto"/>
              <w:jc w:val="center"/>
              <w:rPr>
                <w:color w:val="FFFFFF"/>
                <w:sz w:val="20"/>
                <w:szCs w:val="20"/>
              </w:rPr>
            </w:pPr>
            <w:r>
              <w:rPr>
                <w:color w:val="FFFFFF"/>
                <w:sz w:val="20"/>
                <w:szCs w:val="20"/>
              </w:rPr>
              <w:t>1.5%</w:t>
            </w:r>
          </w:p>
        </w:tc>
        <w:tc>
          <w:tcPr>
            <w:tcW w:w="885" w:type="dxa"/>
            <w:vAlign w:val="center"/>
          </w:tcPr>
          <w:p w14:paraId="703F9215" w14:textId="77777777" w:rsidR="001A39CD" w:rsidRDefault="00646C82">
            <w:pPr>
              <w:spacing w:line="240" w:lineRule="auto"/>
              <w:jc w:val="center"/>
              <w:rPr>
                <w:sz w:val="20"/>
                <w:szCs w:val="20"/>
              </w:rPr>
            </w:pPr>
            <w:r>
              <w:rPr>
                <w:sz w:val="20"/>
                <w:szCs w:val="20"/>
              </w:rPr>
              <w:t>2.6</w:t>
            </w:r>
          </w:p>
        </w:tc>
        <w:tc>
          <w:tcPr>
            <w:tcW w:w="1500" w:type="dxa"/>
            <w:vAlign w:val="center"/>
          </w:tcPr>
          <w:p w14:paraId="51D41528" w14:textId="77777777" w:rsidR="001A39CD" w:rsidRDefault="00646C82">
            <w:pPr>
              <w:spacing w:line="240" w:lineRule="auto"/>
              <w:jc w:val="center"/>
              <w:rPr>
                <w:sz w:val="20"/>
                <w:szCs w:val="20"/>
              </w:rPr>
            </w:pPr>
            <w:r>
              <w:rPr>
                <w:sz w:val="20"/>
                <w:szCs w:val="20"/>
              </w:rPr>
              <w:t>18</w:t>
            </w:r>
          </w:p>
        </w:tc>
        <w:tc>
          <w:tcPr>
            <w:tcW w:w="1350" w:type="dxa"/>
            <w:vAlign w:val="center"/>
          </w:tcPr>
          <w:p w14:paraId="503C7E2A" w14:textId="77777777" w:rsidR="001A39CD" w:rsidRDefault="00646C82">
            <w:pPr>
              <w:spacing w:line="240" w:lineRule="auto"/>
              <w:jc w:val="center"/>
              <w:rPr>
                <w:sz w:val="20"/>
                <w:szCs w:val="20"/>
              </w:rPr>
            </w:pPr>
            <w:r>
              <w:rPr>
                <w:sz w:val="20"/>
                <w:szCs w:val="20"/>
              </w:rPr>
              <w:t>29,309</w:t>
            </w:r>
          </w:p>
        </w:tc>
        <w:tc>
          <w:tcPr>
            <w:tcW w:w="720" w:type="dxa"/>
            <w:vAlign w:val="center"/>
          </w:tcPr>
          <w:p w14:paraId="3BC0FAE8" w14:textId="77777777" w:rsidR="001A39CD" w:rsidRDefault="00646C82">
            <w:pPr>
              <w:spacing w:line="240" w:lineRule="auto"/>
              <w:jc w:val="center"/>
              <w:rPr>
                <w:sz w:val="20"/>
                <w:szCs w:val="20"/>
              </w:rPr>
            </w:pPr>
            <w:r>
              <w:rPr>
                <w:sz w:val="20"/>
                <w:szCs w:val="20"/>
              </w:rPr>
              <w:t>72</w:t>
            </w:r>
          </w:p>
        </w:tc>
      </w:tr>
      <w:tr w:rsidR="001A39CD" w14:paraId="282E8BD5" w14:textId="77777777">
        <w:trPr>
          <w:trHeight w:val="288"/>
        </w:trPr>
        <w:tc>
          <w:tcPr>
            <w:tcW w:w="360" w:type="dxa"/>
            <w:vMerge/>
            <w:tcBorders>
              <w:top w:val="single" w:sz="18" w:space="0" w:color="000000"/>
            </w:tcBorders>
            <w:shd w:val="clear" w:color="auto" w:fill="auto"/>
          </w:tcPr>
          <w:p w14:paraId="768EDF6E"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621E75DF" w14:textId="77777777" w:rsidR="001A39CD" w:rsidRDefault="00646C82">
            <w:pPr>
              <w:spacing w:line="240" w:lineRule="auto"/>
              <w:rPr>
                <w:sz w:val="20"/>
                <w:szCs w:val="20"/>
              </w:rPr>
            </w:pPr>
            <w:r>
              <w:rPr>
                <w:sz w:val="20"/>
                <w:szCs w:val="20"/>
              </w:rPr>
              <w:t>Central Asia</w:t>
            </w:r>
          </w:p>
        </w:tc>
        <w:tc>
          <w:tcPr>
            <w:tcW w:w="1530" w:type="dxa"/>
            <w:shd w:val="clear" w:color="auto" w:fill="auto"/>
            <w:vAlign w:val="center"/>
          </w:tcPr>
          <w:p w14:paraId="459CD00A" w14:textId="77777777" w:rsidR="001A39CD" w:rsidRDefault="00646C82">
            <w:pPr>
              <w:spacing w:line="240" w:lineRule="auto"/>
              <w:jc w:val="center"/>
              <w:rPr>
                <w:sz w:val="20"/>
                <w:szCs w:val="20"/>
              </w:rPr>
            </w:pPr>
            <w:r>
              <w:rPr>
                <w:sz w:val="20"/>
                <w:szCs w:val="20"/>
              </w:rPr>
              <w:t>23</w:t>
            </w:r>
          </w:p>
        </w:tc>
        <w:tc>
          <w:tcPr>
            <w:tcW w:w="1530" w:type="dxa"/>
            <w:shd w:val="clear" w:color="auto" w:fill="auto"/>
            <w:vAlign w:val="center"/>
          </w:tcPr>
          <w:p w14:paraId="2BE5FC48" w14:textId="77777777" w:rsidR="001A39CD" w:rsidRDefault="00646C82">
            <w:pPr>
              <w:spacing w:line="240" w:lineRule="auto"/>
              <w:jc w:val="center"/>
              <w:rPr>
                <w:sz w:val="20"/>
                <w:szCs w:val="20"/>
              </w:rPr>
            </w:pPr>
            <w:r>
              <w:rPr>
                <w:sz w:val="20"/>
                <w:szCs w:val="20"/>
              </w:rPr>
              <w:t>5</w:t>
            </w:r>
          </w:p>
        </w:tc>
        <w:tc>
          <w:tcPr>
            <w:tcW w:w="1665" w:type="dxa"/>
            <w:shd w:val="clear" w:color="auto" w:fill="FF0000"/>
            <w:vAlign w:val="center"/>
          </w:tcPr>
          <w:p w14:paraId="310C182B" w14:textId="77777777" w:rsidR="001A39CD" w:rsidRDefault="00646C82">
            <w:pPr>
              <w:spacing w:line="240" w:lineRule="auto"/>
              <w:jc w:val="center"/>
              <w:rPr>
                <w:color w:val="FFFFFF"/>
                <w:sz w:val="20"/>
                <w:szCs w:val="20"/>
              </w:rPr>
            </w:pPr>
            <w:r>
              <w:rPr>
                <w:color w:val="FFFFFF"/>
                <w:sz w:val="20"/>
                <w:szCs w:val="20"/>
              </w:rPr>
              <w:t>1.8%</w:t>
            </w:r>
          </w:p>
        </w:tc>
        <w:tc>
          <w:tcPr>
            <w:tcW w:w="885" w:type="dxa"/>
            <w:vAlign w:val="center"/>
          </w:tcPr>
          <w:p w14:paraId="3808046F" w14:textId="77777777" w:rsidR="001A39CD" w:rsidRDefault="00646C82">
            <w:pPr>
              <w:spacing w:line="240" w:lineRule="auto"/>
              <w:jc w:val="center"/>
              <w:rPr>
                <w:color w:val="000000"/>
                <w:sz w:val="20"/>
                <w:szCs w:val="20"/>
              </w:rPr>
            </w:pPr>
            <w:r>
              <w:rPr>
                <w:color w:val="000000"/>
                <w:sz w:val="20"/>
                <w:szCs w:val="20"/>
              </w:rPr>
              <w:t>2.8</w:t>
            </w:r>
          </w:p>
        </w:tc>
        <w:tc>
          <w:tcPr>
            <w:tcW w:w="1500" w:type="dxa"/>
            <w:vAlign w:val="center"/>
          </w:tcPr>
          <w:p w14:paraId="269EF5DC" w14:textId="77777777" w:rsidR="001A39CD" w:rsidRDefault="00646C82">
            <w:pPr>
              <w:spacing w:line="240" w:lineRule="auto"/>
              <w:jc w:val="center"/>
              <w:rPr>
                <w:color w:val="000000"/>
                <w:sz w:val="20"/>
                <w:szCs w:val="20"/>
              </w:rPr>
            </w:pPr>
            <w:r>
              <w:rPr>
                <w:color w:val="000000"/>
                <w:sz w:val="20"/>
                <w:szCs w:val="20"/>
              </w:rPr>
              <w:t>16</w:t>
            </w:r>
          </w:p>
        </w:tc>
        <w:tc>
          <w:tcPr>
            <w:tcW w:w="1350" w:type="dxa"/>
            <w:vAlign w:val="center"/>
          </w:tcPr>
          <w:p w14:paraId="3B4AC31A" w14:textId="77777777" w:rsidR="001A39CD" w:rsidRDefault="00646C82">
            <w:pPr>
              <w:spacing w:line="240" w:lineRule="auto"/>
              <w:jc w:val="center"/>
              <w:rPr>
                <w:color w:val="000000"/>
                <w:sz w:val="20"/>
                <w:szCs w:val="20"/>
              </w:rPr>
            </w:pPr>
            <w:r>
              <w:rPr>
                <w:color w:val="000000"/>
                <w:sz w:val="20"/>
                <w:szCs w:val="20"/>
              </w:rPr>
              <w:t>11.088</w:t>
            </w:r>
          </w:p>
        </w:tc>
        <w:tc>
          <w:tcPr>
            <w:tcW w:w="720" w:type="dxa"/>
            <w:vAlign w:val="center"/>
          </w:tcPr>
          <w:p w14:paraId="3E2B8F8B" w14:textId="77777777" w:rsidR="001A39CD" w:rsidRDefault="00646C82">
            <w:pPr>
              <w:pBdr>
                <w:top w:val="nil"/>
                <w:left w:val="nil"/>
                <w:bottom w:val="nil"/>
                <w:right w:val="nil"/>
                <w:between w:val="nil"/>
              </w:pBdr>
              <w:shd w:val="clear" w:color="auto" w:fill="CCCCCC"/>
              <w:spacing w:after="0" w:line="240" w:lineRule="auto"/>
            </w:pPr>
            <w:r>
              <w:rPr>
                <w:color w:val="000000"/>
                <w:sz w:val="20"/>
                <w:szCs w:val="20"/>
              </w:rPr>
              <w:t>48</w:t>
            </w:r>
          </w:p>
        </w:tc>
      </w:tr>
      <w:tr w:rsidR="001A39CD" w14:paraId="6D675058" w14:textId="77777777">
        <w:trPr>
          <w:trHeight w:val="288"/>
        </w:trPr>
        <w:tc>
          <w:tcPr>
            <w:tcW w:w="360" w:type="dxa"/>
            <w:vMerge/>
            <w:tcBorders>
              <w:top w:val="single" w:sz="18" w:space="0" w:color="000000"/>
            </w:tcBorders>
            <w:shd w:val="clear" w:color="auto" w:fill="auto"/>
          </w:tcPr>
          <w:p w14:paraId="1CB73708" w14:textId="77777777" w:rsidR="001A39CD" w:rsidRDefault="001A39CD">
            <w:pPr>
              <w:widowControl w:val="0"/>
              <w:pBdr>
                <w:top w:val="nil"/>
                <w:left w:val="nil"/>
                <w:bottom w:val="nil"/>
                <w:right w:val="nil"/>
                <w:between w:val="nil"/>
              </w:pBdr>
              <w:spacing w:after="0"/>
              <w:rPr>
                <w:color w:val="000000"/>
                <w:sz w:val="20"/>
                <w:szCs w:val="20"/>
              </w:rPr>
            </w:pPr>
          </w:p>
        </w:tc>
        <w:tc>
          <w:tcPr>
            <w:tcW w:w="1800" w:type="dxa"/>
            <w:shd w:val="clear" w:color="auto" w:fill="auto"/>
          </w:tcPr>
          <w:p w14:paraId="3BC700C7" w14:textId="77777777" w:rsidR="001A39CD" w:rsidRDefault="00646C82">
            <w:pPr>
              <w:spacing w:line="240" w:lineRule="auto"/>
              <w:rPr>
                <w:sz w:val="20"/>
                <w:szCs w:val="20"/>
              </w:rPr>
            </w:pPr>
            <w:r>
              <w:rPr>
                <w:sz w:val="20"/>
                <w:szCs w:val="20"/>
              </w:rPr>
              <w:t>South Asia</w:t>
            </w:r>
          </w:p>
        </w:tc>
        <w:tc>
          <w:tcPr>
            <w:tcW w:w="1530" w:type="dxa"/>
            <w:shd w:val="clear" w:color="auto" w:fill="auto"/>
            <w:vAlign w:val="center"/>
          </w:tcPr>
          <w:p w14:paraId="5C75A816" w14:textId="77777777" w:rsidR="001A39CD" w:rsidRDefault="00646C82">
            <w:pPr>
              <w:spacing w:line="240" w:lineRule="auto"/>
              <w:jc w:val="center"/>
              <w:rPr>
                <w:color w:val="000000"/>
                <w:sz w:val="20"/>
                <w:szCs w:val="20"/>
              </w:rPr>
            </w:pPr>
            <w:r>
              <w:rPr>
                <w:color w:val="000000"/>
                <w:sz w:val="20"/>
                <w:szCs w:val="20"/>
              </w:rPr>
              <w:t>21</w:t>
            </w:r>
          </w:p>
        </w:tc>
        <w:tc>
          <w:tcPr>
            <w:tcW w:w="1530" w:type="dxa"/>
            <w:shd w:val="clear" w:color="auto" w:fill="auto"/>
            <w:vAlign w:val="center"/>
          </w:tcPr>
          <w:p w14:paraId="28BE2D02" w14:textId="77777777" w:rsidR="001A39CD" w:rsidRDefault="00646C82">
            <w:pPr>
              <w:spacing w:line="240" w:lineRule="auto"/>
              <w:jc w:val="center"/>
              <w:rPr>
                <w:sz w:val="20"/>
                <w:szCs w:val="20"/>
              </w:rPr>
            </w:pPr>
            <w:r>
              <w:rPr>
                <w:sz w:val="20"/>
                <w:szCs w:val="20"/>
              </w:rPr>
              <w:t>6</w:t>
            </w:r>
          </w:p>
        </w:tc>
        <w:tc>
          <w:tcPr>
            <w:tcW w:w="1665" w:type="dxa"/>
            <w:shd w:val="clear" w:color="auto" w:fill="FF0000"/>
            <w:vAlign w:val="center"/>
          </w:tcPr>
          <w:p w14:paraId="22D1777A" w14:textId="77777777" w:rsidR="001A39CD" w:rsidRDefault="00646C82">
            <w:pPr>
              <w:spacing w:line="240" w:lineRule="auto"/>
              <w:jc w:val="center"/>
              <w:rPr>
                <w:color w:val="FFFFFF"/>
                <w:sz w:val="20"/>
                <w:szCs w:val="20"/>
              </w:rPr>
            </w:pPr>
            <w:r>
              <w:rPr>
                <w:color w:val="FFFFFF"/>
                <w:sz w:val="20"/>
                <w:szCs w:val="20"/>
              </w:rPr>
              <w:t>1.5%</w:t>
            </w:r>
          </w:p>
        </w:tc>
        <w:tc>
          <w:tcPr>
            <w:tcW w:w="885" w:type="dxa"/>
            <w:vAlign w:val="center"/>
          </w:tcPr>
          <w:p w14:paraId="58E13D50" w14:textId="77777777" w:rsidR="001A39CD" w:rsidRDefault="00646C82">
            <w:pPr>
              <w:spacing w:line="240" w:lineRule="auto"/>
              <w:jc w:val="center"/>
              <w:rPr>
                <w:sz w:val="20"/>
                <w:szCs w:val="20"/>
              </w:rPr>
            </w:pPr>
            <w:r>
              <w:rPr>
                <w:sz w:val="20"/>
                <w:szCs w:val="20"/>
              </w:rPr>
              <w:t>2.4</w:t>
            </w:r>
          </w:p>
        </w:tc>
        <w:tc>
          <w:tcPr>
            <w:tcW w:w="1500" w:type="dxa"/>
            <w:vAlign w:val="center"/>
          </w:tcPr>
          <w:p w14:paraId="53FA1687" w14:textId="77777777" w:rsidR="001A39CD" w:rsidRDefault="00646C82">
            <w:pPr>
              <w:spacing w:line="240" w:lineRule="auto"/>
              <w:jc w:val="center"/>
              <w:rPr>
                <w:sz w:val="20"/>
                <w:szCs w:val="20"/>
              </w:rPr>
            </w:pPr>
            <w:r>
              <w:rPr>
                <w:sz w:val="20"/>
                <w:szCs w:val="20"/>
              </w:rPr>
              <w:t>37</w:t>
            </w:r>
          </w:p>
        </w:tc>
        <w:tc>
          <w:tcPr>
            <w:tcW w:w="1350" w:type="dxa"/>
            <w:vAlign w:val="center"/>
          </w:tcPr>
          <w:p w14:paraId="3C3F2B89" w14:textId="77777777" w:rsidR="001A39CD" w:rsidRDefault="00646C82">
            <w:pPr>
              <w:spacing w:line="240" w:lineRule="auto"/>
              <w:jc w:val="center"/>
              <w:rPr>
                <w:sz w:val="20"/>
                <w:szCs w:val="20"/>
              </w:rPr>
            </w:pPr>
            <w:r>
              <w:rPr>
                <w:color w:val="FF0000"/>
                <w:sz w:val="20"/>
                <w:szCs w:val="20"/>
              </w:rPr>
              <w:t xml:space="preserve">  </w:t>
            </w:r>
            <w:r>
              <w:rPr>
                <w:sz w:val="20"/>
                <w:szCs w:val="20"/>
              </w:rPr>
              <w:t>6,575</w:t>
            </w:r>
          </w:p>
        </w:tc>
        <w:tc>
          <w:tcPr>
            <w:tcW w:w="720" w:type="dxa"/>
            <w:vAlign w:val="center"/>
          </w:tcPr>
          <w:p w14:paraId="5E75EF39" w14:textId="77777777" w:rsidR="001A39CD" w:rsidRDefault="00646C82">
            <w:pPr>
              <w:spacing w:line="240" w:lineRule="auto"/>
              <w:jc w:val="center"/>
              <w:rPr>
                <w:sz w:val="20"/>
                <w:szCs w:val="20"/>
              </w:rPr>
            </w:pPr>
            <w:r>
              <w:rPr>
                <w:sz w:val="20"/>
                <w:szCs w:val="20"/>
              </w:rPr>
              <w:t>36</w:t>
            </w:r>
          </w:p>
        </w:tc>
      </w:tr>
      <w:tr w:rsidR="001A39CD" w14:paraId="0C93F218" w14:textId="77777777">
        <w:trPr>
          <w:trHeight w:val="288"/>
        </w:trPr>
        <w:tc>
          <w:tcPr>
            <w:tcW w:w="360" w:type="dxa"/>
            <w:vMerge/>
            <w:tcBorders>
              <w:top w:val="single" w:sz="18" w:space="0" w:color="000000"/>
            </w:tcBorders>
            <w:shd w:val="clear" w:color="auto" w:fill="auto"/>
          </w:tcPr>
          <w:p w14:paraId="2F823CBA"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32606FAE" w14:textId="77777777" w:rsidR="001A39CD" w:rsidRDefault="00646C82">
            <w:pPr>
              <w:spacing w:line="240" w:lineRule="auto"/>
              <w:rPr>
                <w:sz w:val="20"/>
                <w:szCs w:val="20"/>
              </w:rPr>
            </w:pPr>
            <w:r>
              <w:rPr>
                <w:sz w:val="20"/>
                <w:szCs w:val="20"/>
              </w:rPr>
              <w:t>Southeast Asia</w:t>
            </w:r>
          </w:p>
        </w:tc>
        <w:tc>
          <w:tcPr>
            <w:tcW w:w="1530" w:type="dxa"/>
            <w:shd w:val="clear" w:color="auto" w:fill="auto"/>
            <w:vAlign w:val="center"/>
          </w:tcPr>
          <w:p w14:paraId="38A94452" w14:textId="77777777" w:rsidR="001A39CD" w:rsidRDefault="00646C82">
            <w:pPr>
              <w:spacing w:line="240" w:lineRule="auto"/>
              <w:jc w:val="center"/>
              <w:rPr>
                <w:sz w:val="20"/>
                <w:szCs w:val="20"/>
              </w:rPr>
            </w:pPr>
            <w:r>
              <w:rPr>
                <w:sz w:val="20"/>
                <w:szCs w:val="20"/>
              </w:rPr>
              <w:t>18</w:t>
            </w:r>
          </w:p>
        </w:tc>
        <w:tc>
          <w:tcPr>
            <w:tcW w:w="1530" w:type="dxa"/>
            <w:shd w:val="clear" w:color="auto" w:fill="auto"/>
            <w:vAlign w:val="center"/>
          </w:tcPr>
          <w:p w14:paraId="50AEDD06" w14:textId="77777777" w:rsidR="001A39CD" w:rsidRDefault="00646C82">
            <w:pPr>
              <w:spacing w:line="240" w:lineRule="auto"/>
              <w:jc w:val="center"/>
              <w:rPr>
                <w:sz w:val="20"/>
                <w:szCs w:val="20"/>
              </w:rPr>
            </w:pPr>
            <w:r>
              <w:rPr>
                <w:sz w:val="20"/>
                <w:szCs w:val="20"/>
              </w:rPr>
              <w:t>7</w:t>
            </w:r>
          </w:p>
        </w:tc>
        <w:tc>
          <w:tcPr>
            <w:tcW w:w="1665" w:type="dxa"/>
            <w:shd w:val="clear" w:color="auto" w:fill="FF0000"/>
            <w:vAlign w:val="center"/>
          </w:tcPr>
          <w:p w14:paraId="5F6203D9" w14:textId="77777777" w:rsidR="001A39CD" w:rsidRDefault="00646C82">
            <w:pPr>
              <w:spacing w:line="240" w:lineRule="auto"/>
              <w:jc w:val="center"/>
              <w:rPr>
                <w:color w:val="FFFFFF"/>
                <w:sz w:val="20"/>
                <w:szCs w:val="20"/>
              </w:rPr>
            </w:pPr>
            <w:r>
              <w:rPr>
                <w:color w:val="FFFFFF"/>
                <w:sz w:val="20"/>
                <w:szCs w:val="20"/>
              </w:rPr>
              <w:t>1.1%</w:t>
            </w:r>
          </w:p>
        </w:tc>
        <w:tc>
          <w:tcPr>
            <w:tcW w:w="885" w:type="dxa"/>
            <w:vAlign w:val="center"/>
          </w:tcPr>
          <w:p w14:paraId="4E3A7F69" w14:textId="77777777" w:rsidR="001A39CD" w:rsidRDefault="00646C82">
            <w:pPr>
              <w:spacing w:line="240" w:lineRule="auto"/>
              <w:jc w:val="center"/>
              <w:rPr>
                <w:sz w:val="20"/>
                <w:szCs w:val="20"/>
              </w:rPr>
            </w:pPr>
            <w:r>
              <w:rPr>
                <w:sz w:val="20"/>
                <w:szCs w:val="20"/>
              </w:rPr>
              <w:t>2.2</w:t>
            </w:r>
          </w:p>
        </w:tc>
        <w:tc>
          <w:tcPr>
            <w:tcW w:w="1500" w:type="dxa"/>
            <w:vAlign w:val="center"/>
          </w:tcPr>
          <w:p w14:paraId="3536C858" w14:textId="77777777" w:rsidR="001A39CD" w:rsidRDefault="00646C82">
            <w:pPr>
              <w:spacing w:line="240" w:lineRule="auto"/>
              <w:jc w:val="center"/>
              <w:rPr>
                <w:sz w:val="20"/>
                <w:szCs w:val="20"/>
              </w:rPr>
            </w:pPr>
            <w:r>
              <w:rPr>
                <w:sz w:val="20"/>
                <w:szCs w:val="20"/>
              </w:rPr>
              <w:t>22</w:t>
            </w:r>
          </w:p>
        </w:tc>
        <w:tc>
          <w:tcPr>
            <w:tcW w:w="1350" w:type="dxa"/>
            <w:vAlign w:val="center"/>
          </w:tcPr>
          <w:p w14:paraId="11B0B2B6" w14:textId="77777777" w:rsidR="001A39CD" w:rsidRDefault="00646C82">
            <w:pPr>
              <w:spacing w:line="240" w:lineRule="auto"/>
              <w:jc w:val="center"/>
              <w:rPr>
                <w:sz w:val="20"/>
                <w:szCs w:val="20"/>
              </w:rPr>
            </w:pPr>
            <w:r>
              <w:rPr>
                <w:sz w:val="20"/>
                <w:szCs w:val="20"/>
              </w:rPr>
              <w:t>11,893</w:t>
            </w:r>
          </w:p>
        </w:tc>
        <w:tc>
          <w:tcPr>
            <w:tcW w:w="720" w:type="dxa"/>
            <w:vAlign w:val="center"/>
          </w:tcPr>
          <w:p w14:paraId="42C4A252" w14:textId="77777777" w:rsidR="001A39CD" w:rsidRDefault="00646C82">
            <w:pPr>
              <w:spacing w:line="240" w:lineRule="auto"/>
              <w:jc w:val="center"/>
              <w:rPr>
                <w:sz w:val="20"/>
                <w:szCs w:val="20"/>
              </w:rPr>
            </w:pPr>
            <w:r>
              <w:rPr>
                <w:sz w:val="20"/>
                <w:szCs w:val="20"/>
              </w:rPr>
              <w:t>49</w:t>
            </w:r>
          </w:p>
        </w:tc>
      </w:tr>
      <w:tr w:rsidR="001A39CD" w14:paraId="6B6CD633" w14:textId="77777777">
        <w:trPr>
          <w:trHeight w:val="288"/>
        </w:trPr>
        <w:tc>
          <w:tcPr>
            <w:tcW w:w="360" w:type="dxa"/>
            <w:vMerge/>
            <w:tcBorders>
              <w:top w:val="single" w:sz="18" w:space="0" w:color="000000"/>
            </w:tcBorders>
            <w:shd w:val="clear" w:color="auto" w:fill="auto"/>
          </w:tcPr>
          <w:p w14:paraId="22BB2F14" w14:textId="77777777" w:rsidR="001A39CD" w:rsidRDefault="001A39CD">
            <w:pPr>
              <w:widowControl w:val="0"/>
              <w:pBdr>
                <w:top w:val="nil"/>
                <w:left w:val="nil"/>
                <w:bottom w:val="nil"/>
                <w:right w:val="nil"/>
                <w:between w:val="nil"/>
              </w:pBdr>
              <w:spacing w:after="0"/>
              <w:rPr>
                <w:sz w:val="20"/>
                <w:szCs w:val="20"/>
              </w:rPr>
            </w:pPr>
          </w:p>
        </w:tc>
        <w:tc>
          <w:tcPr>
            <w:tcW w:w="1800" w:type="dxa"/>
            <w:shd w:val="clear" w:color="auto" w:fill="auto"/>
          </w:tcPr>
          <w:p w14:paraId="0209DA20" w14:textId="77777777" w:rsidR="001A39CD" w:rsidRDefault="00646C82">
            <w:pPr>
              <w:spacing w:line="240" w:lineRule="auto"/>
              <w:rPr>
                <w:sz w:val="20"/>
                <w:szCs w:val="20"/>
              </w:rPr>
            </w:pPr>
            <w:r>
              <w:rPr>
                <w:sz w:val="20"/>
                <w:szCs w:val="20"/>
              </w:rPr>
              <w:t>East Asia</w:t>
            </w:r>
          </w:p>
        </w:tc>
        <w:tc>
          <w:tcPr>
            <w:tcW w:w="1530" w:type="dxa"/>
            <w:shd w:val="clear" w:color="auto" w:fill="auto"/>
            <w:vAlign w:val="center"/>
          </w:tcPr>
          <w:p w14:paraId="4F01B885" w14:textId="77777777" w:rsidR="001A39CD" w:rsidRDefault="00646C82">
            <w:pPr>
              <w:spacing w:line="240" w:lineRule="auto"/>
              <w:jc w:val="center"/>
              <w:rPr>
                <w:sz w:val="20"/>
                <w:szCs w:val="20"/>
              </w:rPr>
            </w:pPr>
            <w:r>
              <w:rPr>
                <w:sz w:val="20"/>
                <w:szCs w:val="20"/>
              </w:rPr>
              <w:t>10</w:t>
            </w:r>
          </w:p>
        </w:tc>
        <w:tc>
          <w:tcPr>
            <w:tcW w:w="1530" w:type="dxa"/>
            <w:shd w:val="clear" w:color="auto" w:fill="auto"/>
            <w:vAlign w:val="center"/>
          </w:tcPr>
          <w:p w14:paraId="10109752" w14:textId="77777777" w:rsidR="001A39CD" w:rsidRDefault="00646C82">
            <w:pPr>
              <w:spacing w:line="240" w:lineRule="auto"/>
              <w:jc w:val="center"/>
              <w:rPr>
                <w:sz w:val="20"/>
                <w:szCs w:val="20"/>
              </w:rPr>
            </w:pPr>
            <w:r>
              <w:rPr>
                <w:sz w:val="20"/>
                <w:szCs w:val="20"/>
              </w:rPr>
              <w:t>7</w:t>
            </w:r>
          </w:p>
        </w:tc>
        <w:tc>
          <w:tcPr>
            <w:tcW w:w="1665" w:type="dxa"/>
            <w:shd w:val="clear" w:color="auto" w:fill="FF0000"/>
            <w:vAlign w:val="center"/>
          </w:tcPr>
          <w:p w14:paraId="6789D677" w14:textId="77777777" w:rsidR="001A39CD" w:rsidRDefault="00646C82">
            <w:pPr>
              <w:spacing w:line="240" w:lineRule="auto"/>
              <w:jc w:val="center"/>
              <w:rPr>
                <w:color w:val="FFFFFF"/>
                <w:sz w:val="20"/>
                <w:szCs w:val="20"/>
              </w:rPr>
            </w:pPr>
            <w:r>
              <w:rPr>
                <w:color w:val="FFFFFF"/>
                <w:sz w:val="20"/>
                <w:szCs w:val="20"/>
              </w:rPr>
              <w:t>0.3%</w:t>
            </w:r>
          </w:p>
        </w:tc>
        <w:tc>
          <w:tcPr>
            <w:tcW w:w="885" w:type="dxa"/>
            <w:vAlign w:val="center"/>
          </w:tcPr>
          <w:p w14:paraId="2DF57D7B" w14:textId="77777777" w:rsidR="001A39CD" w:rsidRDefault="00646C82">
            <w:pPr>
              <w:spacing w:line="240" w:lineRule="auto"/>
              <w:jc w:val="center"/>
              <w:rPr>
                <w:sz w:val="20"/>
                <w:szCs w:val="20"/>
              </w:rPr>
            </w:pPr>
            <w:r>
              <w:rPr>
                <w:sz w:val="20"/>
                <w:szCs w:val="20"/>
              </w:rPr>
              <w:t>1.5</w:t>
            </w:r>
          </w:p>
        </w:tc>
        <w:tc>
          <w:tcPr>
            <w:tcW w:w="1500" w:type="dxa"/>
            <w:vAlign w:val="center"/>
          </w:tcPr>
          <w:p w14:paraId="3DDBA0E4" w14:textId="77777777" w:rsidR="001A39CD" w:rsidRDefault="00646C82">
            <w:pPr>
              <w:spacing w:line="240" w:lineRule="auto"/>
              <w:jc w:val="center"/>
              <w:rPr>
                <w:sz w:val="20"/>
                <w:szCs w:val="20"/>
              </w:rPr>
            </w:pPr>
            <w:r>
              <w:rPr>
                <w:sz w:val="20"/>
                <w:szCs w:val="20"/>
              </w:rPr>
              <w:t>9</w:t>
            </w:r>
          </w:p>
        </w:tc>
        <w:tc>
          <w:tcPr>
            <w:tcW w:w="1350" w:type="dxa"/>
            <w:vAlign w:val="center"/>
          </w:tcPr>
          <w:p w14:paraId="2DB81010" w14:textId="77777777" w:rsidR="001A39CD" w:rsidRDefault="00646C82">
            <w:pPr>
              <w:spacing w:line="240" w:lineRule="auto"/>
              <w:jc w:val="center"/>
              <w:rPr>
                <w:sz w:val="20"/>
                <w:szCs w:val="20"/>
              </w:rPr>
            </w:pPr>
            <w:r>
              <w:rPr>
                <w:sz w:val="20"/>
                <w:szCs w:val="20"/>
              </w:rPr>
              <w:t>18,578</w:t>
            </w:r>
          </w:p>
        </w:tc>
        <w:tc>
          <w:tcPr>
            <w:tcW w:w="720" w:type="dxa"/>
            <w:vAlign w:val="center"/>
          </w:tcPr>
          <w:p w14:paraId="094D095C" w14:textId="77777777" w:rsidR="001A39CD" w:rsidRDefault="00646C82">
            <w:pPr>
              <w:spacing w:line="240" w:lineRule="auto"/>
              <w:jc w:val="center"/>
              <w:rPr>
                <w:sz w:val="20"/>
                <w:szCs w:val="20"/>
              </w:rPr>
            </w:pPr>
            <w:r>
              <w:rPr>
                <w:sz w:val="20"/>
                <w:szCs w:val="20"/>
              </w:rPr>
              <w:t>64</w:t>
            </w:r>
          </w:p>
        </w:tc>
      </w:tr>
    </w:tbl>
    <w:p w14:paraId="4962632E" w14:textId="77777777" w:rsidR="001A39CD" w:rsidRDefault="001A39CD">
      <w:pPr>
        <w:pBdr>
          <w:top w:val="nil"/>
          <w:left w:val="nil"/>
          <w:bottom w:val="nil"/>
          <w:right w:val="nil"/>
          <w:between w:val="nil"/>
        </w:pBdr>
        <w:spacing w:after="0" w:line="240" w:lineRule="auto"/>
        <w:ind w:left="720" w:right="-274" w:hanging="720"/>
        <w:rPr>
          <w:color w:val="000000"/>
          <w:sz w:val="18"/>
          <w:szCs w:val="18"/>
        </w:rPr>
      </w:pPr>
    </w:p>
    <w:p w14:paraId="5E83B0E7" w14:textId="77777777" w:rsidR="001A39CD" w:rsidRDefault="00646C82">
      <w:pPr>
        <w:numPr>
          <w:ilvl w:val="0"/>
          <w:numId w:val="2"/>
        </w:numPr>
        <w:spacing w:after="0" w:line="240" w:lineRule="auto"/>
        <w:ind w:left="360" w:hanging="360"/>
        <w:rPr>
          <w:sz w:val="20"/>
          <w:szCs w:val="20"/>
        </w:rPr>
      </w:pPr>
      <w:r>
        <w:rPr>
          <w:b/>
          <w:color w:val="FF0000"/>
          <w:sz w:val="20"/>
          <w:szCs w:val="20"/>
        </w:rPr>
        <w:lastRenderedPageBreak/>
        <w:t>Calculate th</w:t>
      </w:r>
      <w:r>
        <w:rPr>
          <w:b/>
          <w:color w:val="FF0000"/>
          <w:sz w:val="20"/>
          <w:szCs w:val="20"/>
        </w:rPr>
        <w:t xml:space="preserve">e NIR for each region </w:t>
      </w:r>
      <w:r>
        <w:rPr>
          <w:b/>
          <w:color w:val="FF0000"/>
          <w:sz w:val="20"/>
          <w:szCs w:val="20"/>
        </w:rPr>
        <w:t>and place it in the column sha</w:t>
      </w:r>
      <w:r>
        <w:rPr>
          <w:b/>
          <w:color w:val="FF0000"/>
          <w:sz w:val="20"/>
          <w:szCs w:val="20"/>
        </w:rPr>
        <w:t xml:space="preserve">ded red </w:t>
      </w:r>
      <w:r>
        <w:rPr>
          <w:b/>
          <w:color w:val="FF0000"/>
          <w:sz w:val="20"/>
          <w:szCs w:val="20"/>
        </w:rPr>
        <w:t>above</w:t>
      </w:r>
      <w:r>
        <w:rPr>
          <w:b/>
          <w:color w:val="FF0000"/>
          <w:sz w:val="20"/>
          <w:szCs w:val="20"/>
        </w:rPr>
        <w:t>.</w:t>
      </w:r>
      <w:r>
        <w:rPr>
          <w:sz w:val="20"/>
          <w:szCs w:val="20"/>
        </w:rPr>
        <w:t xml:space="preserve"> (For this ac</w:t>
      </w:r>
      <w:r>
        <w:rPr>
          <w:sz w:val="20"/>
          <w:szCs w:val="20"/>
        </w:rPr>
        <w:t xml:space="preserve">tivity, </w:t>
      </w:r>
      <w:proofErr w:type="gramStart"/>
      <w:r>
        <w:rPr>
          <w:sz w:val="20"/>
          <w:szCs w:val="20"/>
        </w:rPr>
        <w:t>in order to</w:t>
      </w:r>
      <w:proofErr w:type="gramEnd"/>
      <w:r>
        <w:rPr>
          <w:sz w:val="20"/>
          <w:szCs w:val="20"/>
        </w:rPr>
        <w:t xml:space="preserve"> differentiate between MDCs and LDCs, the chart uses the thinking of Brandt’s line</w:t>
      </w:r>
      <w:r>
        <w:rPr>
          <w:sz w:val="20"/>
          <w:szCs w:val="20"/>
        </w:rPr>
        <w:t>, ex</w:t>
      </w:r>
      <w:r>
        <w:rPr>
          <w:sz w:val="20"/>
          <w:szCs w:val="20"/>
        </w:rPr>
        <w:t>cept Central Asia is classified as LDC and Japan is grouped within East Asia)?</w:t>
      </w:r>
    </w:p>
    <w:p w14:paraId="7D267BE9" w14:textId="77777777" w:rsidR="001A39CD" w:rsidRDefault="00646C82">
      <w:pPr>
        <w:numPr>
          <w:ilvl w:val="2"/>
          <w:numId w:val="2"/>
        </w:numPr>
        <w:spacing w:after="0" w:line="240" w:lineRule="auto"/>
        <w:rPr>
          <w:color w:val="FF0000"/>
          <w:sz w:val="20"/>
          <w:szCs w:val="20"/>
        </w:rPr>
      </w:pPr>
      <w:r>
        <w:rPr>
          <w:color w:val="FF0000"/>
          <w:sz w:val="20"/>
          <w:szCs w:val="20"/>
        </w:rPr>
        <w:t>Students calculated the NIR correctly for most of the regions (1)</w:t>
      </w:r>
    </w:p>
    <w:p w14:paraId="486C8C5C" w14:textId="77777777" w:rsidR="001A39CD" w:rsidRDefault="00646C82">
      <w:pPr>
        <w:numPr>
          <w:ilvl w:val="2"/>
          <w:numId w:val="2"/>
        </w:numPr>
        <w:spacing w:after="0" w:line="240" w:lineRule="auto"/>
        <w:rPr>
          <w:color w:val="FF0000"/>
          <w:sz w:val="20"/>
          <w:szCs w:val="20"/>
        </w:rPr>
      </w:pPr>
      <w:r>
        <w:rPr>
          <w:color w:val="FF0000"/>
          <w:sz w:val="20"/>
          <w:szCs w:val="20"/>
        </w:rPr>
        <w:t>Students made several errors in calculating the NIR for the regions above (.5)</w:t>
      </w:r>
    </w:p>
    <w:p w14:paraId="075182DC" w14:textId="77777777" w:rsidR="001A39CD" w:rsidRDefault="00646C82">
      <w:pPr>
        <w:numPr>
          <w:ilvl w:val="2"/>
          <w:numId w:val="2"/>
        </w:numPr>
        <w:spacing w:after="0" w:line="240" w:lineRule="auto"/>
        <w:rPr>
          <w:color w:val="FF0000"/>
          <w:sz w:val="20"/>
          <w:szCs w:val="20"/>
        </w:rPr>
      </w:pPr>
      <w:proofErr w:type="gramStart"/>
      <w:r>
        <w:rPr>
          <w:color w:val="FF0000"/>
          <w:sz w:val="20"/>
          <w:szCs w:val="20"/>
        </w:rPr>
        <w:t>Students</w:t>
      </w:r>
      <w:proofErr w:type="gramEnd"/>
      <w:r>
        <w:rPr>
          <w:color w:val="FF0000"/>
          <w:sz w:val="20"/>
          <w:szCs w:val="20"/>
        </w:rPr>
        <w:t xml:space="preserve"> responses did not demonstrate understanding of how to calculate the NIR (0)</w:t>
      </w:r>
    </w:p>
    <w:p w14:paraId="5D15F8CD" w14:textId="77777777" w:rsidR="001A39CD" w:rsidRDefault="001A39CD">
      <w:pPr>
        <w:spacing w:after="0" w:line="240" w:lineRule="auto"/>
        <w:ind w:left="1080"/>
        <w:rPr>
          <w:sz w:val="20"/>
          <w:szCs w:val="20"/>
        </w:rPr>
      </w:pPr>
    </w:p>
    <w:p w14:paraId="2EF6CA3C" w14:textId="77777777" w:rsidR="001A39CD" w:rsidRDefault="00646C82">
      <w:pPr>
        <w:numPr>
          <w:ilvl w:val="0"/>
          <w:numId w:val="2"/>
        </w:numPr>
        <w:spacing w:after="0" w:line="240" w:lineRule="auto"/>
        <w:ind w:left="360" w:hanging="360"/>
        <w:rPr>
          <w:sz w:val="20"/>
          <w:szCs w:val="20"/>
        </w:rPr>
      </w:pPr>
      <w:r>
        <w:rPr>
          <w:b/>
          <w:sz w:val="20"/>
          <w:szCs w:val="20"/>
        </w:rPr>
        <w:t>TFR and CBR</w:t>
      </w:r>
    </w:p>
    <w:p w14:paraId="4CB919A4" w14:textId="77777777" w:rsidR="001A39CD" w:rsidRDefault="00646C82">
      <w:pPr>
        <w:numPr>
          <w:ilvl w:val="1"/>
          <w:numId w:val="2"/>
        </w:numPr>
        <w:spacing w:after="0" w:line="240" w:lineRule="auto"/>
        <w:ind w:left="900" w:hanging="540"/>
        <w:rPr>
          <w:sz w:val="20"/>
          <w:szCs w:val="20"/>
        </w:rPr>
      </w:pPr>
      <w:r>
        <w:rPr>
          <w:b/>
          <w:sz w:val="20"/>
          <w:szCs w:val="20"/>
        </w:rPr>
        <w:t>EXPLAIN the extent to which</w:t>
      </w:r>
      <w:r>
        <w:rPr>
          <w:sz w:val="20"/>
          <w:szCs w:val="20"/>
        </w:rPr>
        <w:t xml:space="preserve"> the TFR or the CBR is more accurate of childbirth trends in a society (see Rubenstein p 56).</w:t>
      </w:r>
    </w:p>
    <w:p w14:paraId="74198B1B" w14:textId="77777777" w:rsidR="001A39CD" w:rsidRDefault="00646C82">
      <w:pPr>
        <w:numPr>
          <w:ilvl w:val="0"/>
          <w:numId w:val="1"/>
        </w:numPr>
        <w:spacing w:after="0" w:line="240" w:lineRule="auto"/>
        <w:rPr>
          <w:color w:val="FF0000"/>
          <w:sz w:val="20"/>
          <w:szCs w:val="20"/>
        </w:rPr>
      </w:pPr>
      <w:r>
        <w:rPr>
          <w:color w:val="FF0000"/>
          <w:sz w:val="20"/>
          <w:szCs w:val="20"/>
        </w:rPr>
        <w:t>student should define CBR and TFR</w:t>
      </w:r>
    </w:p>
    <w:p w14:paraId="12FA858B" w14:textId="77777777" w:rsidR="001A39CD" w:rsidRDefault="00646C82">
      <w:pPr>
        <w:numPr>
          <w:ilvl w:val="0"/>
          <w:numId w:val="1"/>
        </w:numPr>
        <w:spacing w:after="0" w:line="240" w:lineRule="auto"/>
        <w:rPr>
          <w:color w:val="FF0000"/>
          <w:sz w:val="20"/>
          <w:szCs w:val="20"/>
        </w:rPr>
      </w:pPr>
      <w:r>
        <w:rPr>
          <w:color w:val="FF0000"/>
          <w:sz w:val="20"/>
          <w:szCs w:val="20"/>
        </w:rPr>
        <w:t xml:space="preserve">student must take a stand on which (CBR or TFR) is more </w:t>
      </w:r>
      <w:proofErr w:type="gramStart"/>
      <w:r>
        <w:rPr>
          <w:color w:val="FF0000"/>
          <w:sz w:val="20"/>
          <w:szCs w:val="20"/>
        </w:rPr>
        <w:t>accurate</w:t>
      </w:r>
      <w:proofErr w:type="gramEnd"/>
    </w:p>
    <w:p w14:paraId="2FE1ED5B" w14:textId="77777777" w:rsidR="001A39CD" w:rsidRDefault="00646C82">
      <w:pPr>
        <w:numPr>
          <w:ilvl w:val="0"/>
          <w:numId w:val="1"/>
        </w:numPr>
        <w:spacing w:after="0" w:line="240" w:lineRule="auto"/>
        <w:rPr>
          <w:color w:val="FF0000"/>
          <w:sz w:val="20"/>
          <w:szCs w:val="20"/>
        </w:rPr>
      </w:pPr>
      <w:r>
        <w:rPr>
          <w:color w:val="FF0000"/>
          <w:sz w:val="20"/>
          <w:szCs w:val="20"/>
        </w:rPr>
        <w:t xml:space="preserve">student should explain how CBR is an actual annual measurement of what happens while TFR is a prediction based on current trends over what will happen over 34-year period (women aged 15 - 49).  </w:t>
      </w:r>
      <w:proofErr w:type="gramStart"/>
      <w:r>
        <w:rPr>
          <w:b/>
          <w:color w:val="FF0000"/>
          <w:sz w:val="20"/>
          <w:szCs w:val="20"/>
        </w:rPr>
        <w:t>Therefore</w:t>
      </w:r>
      <w:proofErr w:type="gramEnd"/>
      <w:r>
        <w:rPr>
          <w:b/>
          <w:color w:val="FF0000"/>
          <w:sz w:val="20"/>
          <w:szCs w:val="20"/>
        </w:rPr>
        <w:t xml:space="preserve"> CBR is more accurate because trends can change.</w:t>
      </w:r>
      <w:r>
        <w:rPr>
          <w:color w:val="FF0000"/>
          <w:sz w:val="20"/>
          <w:szCs w:val="20"/>
        </w:rPr>
        <w:t xml:space="preserve"> In factr we see this happening rapidly in places like India whose TFR has declined significantly in recent years. </w:t>
      </w:r>
    </w:p>
    <w:p w14:paraId="095B76F5" w14:textId="77777777" w:rsidR="001A39CD" w:rsidRDefault="00646C82">
      <w:pPr>
        <w:numPr>
          <w:ilvl w:val="0"/>
          <w:numId w:val="1"/>
        </w:numPr>
        <w:spacing w:after="0" w:line="240" w:lineRule="auto"/>
        <w:rPr>
          <w:color w:val="FF0000"/>
          <w:sz w:val="20"/>
          <w:szCs w:val="20"/>
        </w:rPr>
      </w:pPr>
      <w:r>
        <w:rPr>
          <w:color w:val="FF0000"/>
          <w:sz w:val="20"/>
          <w:szCs w:val="20"/>
        </w:rPr>
        <w:t>The “explain the extent to which” prompt is covered in the FRQ writing skills under study tools on my website.</w:t>
      </w:r>
    </w:p>
    <w:p w14:paraId="14EF3FA4" w14:textId="77777777" w:rsidR="001A39CD" w:rsidRDefault="001A39CD">
      <w:pPr>
        <w:spacing w:after="0" w:line="240" w:lineRule="auto"/>
        <w:ind w:left="900" w:hanging="540"/>
        <w:rPr>
          <w:sz w:val="20"/>
          <w:szCs w:val="20"/>
        </w:rPr>
      </w:pPr>
    </w:p>
    <w:p w14:paraId="3969379E" w14:textId="77777777" w:rsidR="001A39CD" w:rsidRDefault="00646C82">
      <w:pPr>
        <w:numPr>
          <w:ilvl w:val="1"/>
          <w:numId w:val="2"/>
        </w:numPr>
        <w:spacing w:after="0" w:line="240" w:lineRule="auto"/>
        <w:ind w:left="900" w:hanging="540"/>
        <w:rPr>
          <w:sz w:val="20"/>
          <w:szCs w:val="20"/>
        </w:rPr>
      </w:pPr>
      <w:r>
        <w:rPr>
          <w:b/>
          <w:sz w:val="20"/>
          <w:szCs w:val="20"/>
        </w:rPr>
        <w:t>EXPLAIN</w:t>
      </w:r>
      <w:r>
        <w:rPr>
          <w:sz w:val="20"/>
          <w:szCs w:val="20"/>
        </w:rPr>
        <w:t xml:space="preserve"> replacement rate (see de Blij p 49)</w:t>
      </w:r>
      <w:r>
        <w:rPr>
          <w:sz w:val="20"/>
          <w:szCs w:val="20"/>
        </w:rPr>
        <w:t>.</w:t>
      </w:r>
    </w:p>
    <w:p w14:paraId="1487755A"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must define “replacement rate” as a TFR of 2.1. It means that parents are having children who will eventually take their place in the total population. </w:t>
      </w:r>
    </w:p>
    <w:p w14:paraId="2BADC614" w14:textId="77777777" w:rsidR="001A39CD" w:rsidRDefault="00646C82">
      <w:pPr>
        <w:numPr>
          <w:ilvl w:val="2"/>
          <w:numId w:val="2"/>
        </w:numPr>
        <w:spacing w:after="0" w:line="240" w:lineRule="auto"/>
        <w:rPr>
          <w:color w:val="FF0000"/>
          <w:sz w:val="20"/>
          <w:szCs w:val="20"/>
        </w:rPr>
      </w:pPr>
      <w:r>
        <w:rPr>
          <w:color w:val="FF0000"/>
          <w:sz w:val="20"/>
          <w:szCs w:val="20"/>
        </w:rPr>
        <w:t>The consequences of this (EXPLAIN prompt, it is required for a full point) are:</w:t>
      </w:r>
    </w:p>
    <w:p w14:paraId="4494B293" w14:textId="77777777" w:rsidR="001A39CD" w:rsidRDefault="00646C82">
      <w:pPr>
        <w:numPr>
          <w:ilvl w:val="3"/>
          <w:numId w:val="2"/>
        </w:numPr>
        <w:spacing w:after="0" w:line="240" w:lineRule="auto"/>
        <w:rPr>
          <w:color w:val="FF0000"/>
          <w:sz w:val="20"/>
          <w:szCs w:val="20"/>
        </w:rPr>
      </w:pPr>
      <w:r>
        <w:rPr>
          <w:color w:val="FF0000"/>
          <w:sz w:val="20"/>
          <w:szCs w:val="20"/>
        </w:rPr>
        <w:t>If a society maintains a replacement rate of 2.1 then NIR will be near 0% or Zero Population Growth (ZPG) OR</w:t>
      </w:r>
    </w:p>
    <w:p w14:paraId="17938BEB" w14:textId="77777777" w:rsidR="001A39CD" w:rsidRDefault="00646C82">
      <w:pPr>
        <w:numPr>
          <w:ilvl w:val="3"/>
          <w:numId w:val="2"/>
        </w:numPr>
        <w:spacing w:after="0" w:line="240" w:lineRule="auto"/>
        <w:rPr>
          <w:color w:val="FF0000"/>
          <w:sz w:val="20"/>
          <w:szCs w:val="20"/>
        </w:rPr>
      </w:pPr>
      <w:r>
        <w:rPr>
          <w:color w:val="FF0000"/>
          <w:sz w:val="20"/>
          <w:szCs w:val="20"/>
        </w:rPr>
        <w:t>if replacement rate is greater than 2.1, NIR will be greater than 0% and population will continue to grow OR</w:t>
      </w:r>
    </w:p>
    <w:p w14:paraId="126B7A09" w14:textId="77777777" w:rsidR="001A39CD" w:rsidRDefault="00646C82">
      <w:pPr>
        <w:numPr>
          <w:ilvl w:val="3"/>
          <w:numId w:val="2"/>
        </w:numPr>
        <w:spacing w:after="0" w:line="240" w:lineRule="auto"/>
        <w:rPr>
          <w:color w:val="FF0000"/>
          <w:sz w:val="20"/>
          <w:szCs w:val="20"/>
        </w:rPr>
      </w:pPr>
      <w:proofErr w:type="gramStart"/>
      <w:r>
        <w:rPr>
          <w:color w:val="FF0000"/>
          <w:sz w:val="20"/>
          <w:szCs w:val="20"/>
        </w:rPr>
        <w:t>if</w:t>
      </w:r>
      <w:proofErr w:type="gramEnd"/>
      <w:r>
        <w:rPr>
          <w:color w:val="FF0000"/>
          <w:sz w:val="20"/>
          <w:szCs w:val="20"/>
        </w:rPr>
        <w:t xml:space="preserve"> replacement rate is less than 2.1, NIR could be less than 0% and the population will decrease.</w:t>
      </w:r>
    </w:p>
    <w:p w14:paraId="40355F92" w14:textId="77777777" w:rsidR="001A39CD" w:rsidRDefault="001A39CD">
      <w:pPr>
        <w:spacing w:after="0" w:line="240" w:lineRule="auto"/>
        <w:ind w:left="900" w:hanging="540"/>
        <w:rPr>
          <w:sz w:val="20"/>
          <w:szCs w:val="20"/>
        </w:rPr>
      </w:pPr>
    </w:p>
    <w:p w14:paraId="5AA035A2" w14:textId="77777777" w:rsidR="001A39CD" w:rsidRDefault="00646C82">
      <w:pPr>
        <w:numPr>
          <w:ilvl w:val="1"/>
          <w:numId w:val="2"/>
        </w:numPr>
        <w:spacing w:after="0" w:line="240" w:lineRule="auto"/>
        <w:ind w:left="900" w:hanging="540"/>
        <w:rPr>
          <w:sz w:val="20"/>
          <w:szCs w:val="20"/>
        </w:rPr>
      </w:pPr>
      <w:r>
        <w:rPr>
          <w:b/>
          <w:sz w:val="20"/>
          <w:szCs w:val="20"/>
        </w:rPr>
        <w:t>COMPARE</w:t>
      </w:r>
      <w:r>
        <w:rPr>
          <w:sz w:val="20"/>
          <w:szCs w:val="20"/>
        </w:rPr>
        <w:t xml:space="preserve"> the TFR between LDCs and MDCs.</w:t>
      </w:r>
    </w:p>
    <w:p w14:paraId="4F3680A3" w14:textId="77777777" w:rsidR="001A39CD" w:rsidRDefault="00646C82">
      <w:pPr>
        <w:numPr>
          <w:ilvl w:val="2"/>
          <w:numId w:val="2"/>
        </w:numPr>
        <w:spacing w:after="0" w:line="240" w:lineRule="auto"/>
        <w:rPr>
          <w:color w:val="FF0000"/>
          <w:sz w:val="20"/>
          <w:szCs w:val="20"/>
        </w:rPr>
      </w:pPr>
      <w:r>
        <w:rPr>
          <w:color w:val="FF0000"/>
          <w:sz w:val="20"/>
          <w:szCs w:val="20"/>
        </w:rPr>
        <w:t xml:space="preserve">This is a compare questions where you should mash two describes together, it is not asking you to compare the causes or consequences of of </w:t>
      </w:r>
      <w:proofErr w:type="gramStart"/>
      <w:r>
        <w:rPr>
          <w:color w:val="FF0000"/>
          <w:sz w:val="20"/>
          <w:szCs w:val="20"/>
        </w:rPr>
        <w:t>TFR</w:t>
      </w:r>
      <w:proofErr w:type="gramEnd"/>
    </w:p>
    <w:p w14:paraId="78F1BF8F" w14:textId="77777777" w:rsidR="001A39CD" w:rsidRDefault="00646C82">
      <w:pPr>
        <w:numPr>
          <w:ilvl w:val="2"/>
          <w:numId w:val="2"/>
        </w:numPr>
        <w:spacing w:after="0" w:line="240" w:lineRule="auto"/>
        <w:rPr>
          <w:color w:val="FF0000"/>
          <w:sz w:val="20"/>
          <w:szCs w:val="20"/>
        </w:rPr>
      </w:pPr>
      <w:r>
        <w:rPr>
          <w:color w:val="FF0000"/>
          <w:sz w:val="20"/>
          <w:szCs w:val="20"/>
        </w:rPr>
        <w:t xml:space="preserve">You should use the chart for the examples required by a DESCRIBE </w:t>
      </w:r>
      <w:proofErr w:type="gramStart"/>
      <w:r>
        <w:rPr>
          <w:color w:val="FF0000"/>
          <w:sz w:val="20"/>
          <w:szCs w:val="20"/>
        </w:rPr>
        <w:t>prompt</w:t>
      </w:r>
      <w:proofErr w:type="gramEnd"/>
    </w:p>
    <w:p w14:paraId="6D4EC2B0" w14:textId="77777777" w:rsidR="001A39CD" w:rsidRDefault="00646C82">
      <w:pPr>
        <w:numPr>
          <w:ilvl w:val="2"/>
          <w:numId w:val="2"/>
        </w:numPr>
        <w:spacing w:after="0" w:line="240" w:lineRule="auto"/>
        <w:rPr>
          <w:color w:val="FF0000"/>
          <w:sz w:val="20"/>
          <w:szCs w:val="20"/>
        </w:rPr>
      </w:pPr>
      <w:r>
        <w:rPr>
          <w:color w:val="FF0000"/>
          <w:sz w:val="20"/>
          <w:szCs w:val="20"/>
        </w:rPr>
        <w:t xml:space="preserve">Student should state that TFR is higher in LDCs than in </w:t>
      </w:r>
      <w:proofErr w:type="gramStart"/>
      <w:r>
        <w:rPr>
          <w:color w:val="FF0000"/>
          <w:sz w:val="20"/>
          <w:szCs w:val="20"/>
        </w:rPr>
        <w:t>MDCs</w:t>
      </w:r>
      <w:proofErr w:type="gramEnd"/>
    </w:p>
    <w:p w14:paraId="018FCFF4" w14:textId="77777777" w:rsidR="001A39CD" w:rsidRDefault="00646C82">
      <w:pPr>
        <w:numPr>
          <w:ilvl w:val="3"/>
          <w:numId w:val="2"/>
        </w:numPr>
        <w:spacing w:after="0" w:line="240" w:lineRule="auto"/>
        <w:rPr>
          <w:color w:val="FF0000"/>
          <w:sz w:val="20"/>
          <w:szCs w:val="20"/>
        </w:rPr>
      </w:pPr>
      <w:r>
        <w:rPr>
          <w:color w:val="FF0000"/>
          <w:sz w:val="20"/>
          <w:szCs w:val="20"/>
        </w:rPr>
        <w:t xml:space="preserve">Students should provide examples form the chart that support that TFR is higher in LDCs than </w:t>
      </w:r>
      <w:proofErr w:type="gramStart"/>
      <w:r>
        <w:rPr>
          <w:color w:val="FF0000"/>
          <w:sz w:val="20"/>
          <w:szCs w:val="20"/>
        </w:rPr>
        <w:t>MDCs</w:t>
      </w:r>
      <w:proofErr w:type="gramEnd"/>
    </w:p>
    <w:p w14:paraId="05297A6B" w14:textId="77777777" w:rsidR="001A39CD" w:rsidRDefault="00646C82">
      <w:pPr>
        <w:numPr>
          <w:ilvl w:val="3"/>
          <w:numId w:val="2"/>
        </w:numPr>
        <w:spacing w:after="0" w:line="240" w:lineRule="auto"/>
        <w:rPr>
          <w:color w:val="FF0000"/>
          <w:sz w:val="20"/>
          <w:szCs w:val="20"/>
        </w:rPr>
      </w:pPr>
      <w:r>
        <w:rPr>
          <w:color w:val="FF0000"/>
          <w:sz w:val="20"/>
          <w:szCs w:val="20"/>
        </w:rPr>
        <w:t xml:space="preserve">AS EXPLAINED TO YOU, don’t use averages.  Each of these regions has a different sized population and therefore you would need to </w:t>
      </w:r>
      <w:proofErr w:type="gramStart"/>
      <w:r>
        <w:rPr>
          <w:color w:val="FF0000"/>
          <w:sz w:val="20"/>
          <w:szCs w:val="20"/>
        </w:rPr>
        <w:t>weight</w:t>
      </w:r>
      <w:proofErr w:type="gramEnd"/>
      <w:r>
        <w:rPr>
          <w:color w:val="FF0000"/>
          <w:sz w:val="20"/>
          <w:szCs w:val="20"/>
        </w:rPr>
        <w:t xml:space="preserve"> that calculation </w:t>
      </w:r>
      <w:proofErr w:type="gramStart"/>
      <w:r>
        <w:rPr>
          <w:color w:val="FF0000"/>
          <w:sz w:val="20"/>
          <w:szCs w:val="20"/>
        </w:rPr>
        <w:t>in order for</w:t>
      </w:r>
      <w:proofErr w:type="gramEnd"/>
      <w:r>
        <w:rPr>
          <w:color w:val="FF0000"/>
          <w:sz w:val="20"/>
          <w:szCs w:val="20"/>
        </w:rPr>
        <w:t xml:space="preserve"> it to be accurate.</w:t>
      </w:r>
    </w:p>
    <w:p w14:paraId="234A05E2" w14:textId="77777777" w:rsidR="001A39CD" w:rsidRDefault="001A39CD">
      <w:pPr>
        <w:spacing w:after="0" w:line="240" w:lineRule="auto"/>
        <w:ind w:left="1440"/>
        <w:rPr>
          <w:sz w:val="20"/>
          <w:szCs w:val="20"/>
        </w:rPr>
      </w:pPr>
    </w:p>
    <w:p w14:paraId="69D0781D" w14:textId="77777777" w:rsidR="001A39CD" w:rsidRDefault="00646C82">
      <w:pPr>
        <w:numPr>
          <w:ilvl w:val="0"/>
          <w:numId w:val="2"/>
        </w:numPr>
        <w:spacing w:after="0" w:line="240" w:lineRule="auto"/>
        <w:ind w:left="360" w:hanging="360"/>
        <w:rPr>
          <w:sz w:val="20"/>
          <w:szCs w:val="20"/>
        </w:rPr>
      </w:pPr>
      <w:r>
        <w:rPr>
          <w:b/>
          <w:sz w:val="20"/>
          <w:szCs w:val="20"/>
        </w:rPr>
        <w:t>Population dynamics in Southern and Eastern Europe</w:t>
      </w:r>
    </w:p>
    <w:p w14:paraId="7D9CD63F" w14:textId="77777777" w:rsidR="001A39CD" w:rsidRDefault="00646C82">
      <w:pPr>
        <w:numPr>
          <w:ilvl w:val="1"/>
          <w:numId w:val="2"/>
        </w:numPr>
        <w:spacing w:after="0" w:line="240" w:lineRule="auto"/>
        <w:ind w:left="900" w:hanging="540"/>
        <w:rPr>
          <w:sz w:val="20"/>
          <w:szCs w:val="20"/>
        </w:rPr>
      </w:pPr>
      <w:r>
        <w:rPr>
          <w:b/>
          <w:sz w:val="20"/>
          <w:szCs w:val="20"/>
        </w:rPr>
        <w:t>IDENTIFY</w:t>
      </w:r>
      <w:r>
        <w:rPr>
          <w:sz w:val="20"/>
          <w:szCs w:val="20"/>
        </w:rPr>
        <w:t xml:space="preserve"> the demographic problem being faced by the MDC regions of Eastern and Southern Europe</w:t>
      </w:r>
      <w:r>
        <w:rPr>
          <w:sz w:val="20"/>
          <w:szCs w:val="20"/>
        </w:rPr>
        <w:t>.</w:t>
      </w:r>
    </w:p>
    <w:p w14:paraId="04D43204"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identify the demographic problem being faced by Eastern and Southern Europe </w:t>
      </w:r>
      <w:proofErr w:type="gramStart"/>
      <w:r>
        <w:rPr>
          <w:color w:val="FF0000"/>
          <w:sz w:val="20"/>
          <w:szCs w:val="20"/>
        </w:rPr>
        <w:t>is</w:t>
      </w:r>
      <w:proofErr w:type="gramEnd"/>
      <w:r>
        <w:rPr>
          <w:color w:val="FF0000"/>
          <w:sz w:val="20"/>
          <w:szCs w:val="20"/>
        </w:rPr>
        <w:t xml:space="preserve"> a declining population or negative population growth or aging population or a shrinking workforce.</w:t>
      </w:r>
    </w:p>
    <w:p w14:paraId="5B8F7222" w14:textId="77777777" w:rsidR="001A39CD" w:rsidRDefault="001A39CD">
      <w:pPr>
        <w:spacing w:after="0" w:line="240" w:lineRule="auto"/>
        <w:ind w:left="900" w:hanging="540"/>
        <w:rPr>
          <w:sz w:val="20"/>
          <w:szCs w:val="20"/>
        </w:rPr>
      </w:pPr>
    </w:p>
    <w:p w14:paraId="291A6269" w14:textId="77777777" w:rsidR="001A39CD" w:rsidRDefault="00646C82">
      <w:pPr>
        <w:numPr>
          <w:ilvl w:val="1"/>
          <w:numId w:val="2"/>
        </w:numPr>
        <w:spacing w:after="0" w:line="240" w:lineRule="auto"/>
        <w:ind w:left="900" w:hanging="540"/>
        <w:rPr>
          <w:sz w:val="20"/>
          <w:szCs w:val="20"/>
        </w:rPr>
      </w:pPr>
      <w:r>
        <w:rPr>
          <w:b/>
          <w:sz w:val="20"/>
          <w:szCs w:val="20"/>
        </w:rPr>
        <w:t>EXPLAIN</w:t>
      </w:r>
      <w:r>
        <w:rPr>
          <w:sz w:val="20"/>
          <w:szCs w:val="20"/>
        </w:rPr>
        <w:t xml:space="preserve"> </w:t>
      </w:r>
      <w:proofErr w:type="gramStart"/>
      <w:r>
        <w:rPr>
          <w:sz w:val="20"/>
          <w:szCs w:val="20"/>
        </w:rPr>
        <w:t>one  problem</w:t>
      </w:r>
      <w:proofErr w:type="gramEnd"/>
      <w:r>
        <w:rPr>
          <w:sz w:val="20"/>
          <w:szCs w:val="20"/>
        </w:rPr>
        <w:t xml:space="preserve"> </w:t>
      </w:r>
      <w:r>
        <w:rPr>
          <w:sz w:val="20"/>
          <w:szCs w:val="20"/>
        </w:rPr>
        <w:t>that</w:t>
      </w:r>
      <w:r>
        <w:rPr>
          <w:sz w:val="20"/>
          <w:szCs w:val="20"/>
        </w:rPr>
        <w:t xml:space="preserve"> arises from the demographic problem faced by Eastern and Southern Europe (de Blij p 49)</w:t>
      </w:r>
      <w:r>
        <w:rPr>
          <w:sz w:val="20"/>
          <w:szCs w:val="20"/>
        </w:rPr>
        <w:t>.</w:t>
      </w:r>
    </w:p>
    <w:p w14:paraId="743E2ABC" w14:textId="77777777" w:rsidR="001A39CD" w:rsidRDefault="00646C82">
      <w:pPr>
        <w:numPr>
          <w:ilvl w:val="2"/>
          <w:numId w:val="2"/>
        </w:numPr>
        <w:spacing w:after="0" w:line="240" w:lineRule="auto"/>
        <w:rPr>
          <w:sz w:val="20"/>
          <w:szCs w:val="20"/>
        </w:rPr>
      </w:pPr>
      <w:r>
        <w:rPr>
          <w:color w:val="FF0000"/>
          <w:sz w:val="20"/>
          <w:szCs w:val="20"/>
        </w:rPr>
        <w:t xml:space="preserve">Consequences of the above could </w:t>
      </w:r>
      <w:proofErr w:type="gramStart"/>
      <w:r>
        <w:rPr>
          <w:color w:val="FF0000"/>
          <w:sz w:val="20"/>
          <w:szCs w:val="20"/>
        </w:rPr>
        <w:t>include</w:t>
      </w:r>
      <w:proofErr w:type="gramEnd"/>
    </w:p>
    <w:p w14:paraId="0FFA7146" w14:textId="77777777" w:rsidR="001A39CD" w:rsidRDefault="00646C82">
      <w:pPr>
        <w:numPr>
          <w:ilvl w:val="3"/>
          <w:numId w:val="2"/>
        </w:numPr>
        <w:spacing w:after="0" w:line="240" w:lineRule="auto"/>
        <w:rPr>
          <w:sz w:val="20"/>
          <w:szCs w:val="20"/>
        </w:rPr>
      </w:pPr>
      <w:r>
        <w:rPr>
          <w:color w:val="FF0000"/>
          <w:sz w:val="20"/>
          <w:szCs w:val="20"/>
        </w:rPr>
        <w:t xml:space="preserve">less workers to pay taxes to support high aged dependency should incl. some examples of aged dependency costs (see below).  </w:t>
      </w:r>
    </w:p>
    <w:p w14:paraId="15D85164" w14:textId="77777777" w:rsidR="001A39CD" w:rsidRDefault="00646C82">
      <w:pPr>
        <w:numPr>
          <w:ilvl w:val="3"/>
          <w:numId w:val="2"/>
        </w:numPr>
        <w:spacing w:after="0" w:line="240" w:lineRule="auto"/>
        <w:rPr>
          <w:sz w:val="20"/>
          <w:szCs w:val="20"/>
        </w:rPr>
      </w:pPr>
      <w:r>
        <w:rPr>
          <w:color w:val="FF0000"/>
          <w:sz w:val="20"/>
          <w:szCs w:val="20"/>
        </w:rPr>
        <w:t xml:space="preserve">Elderly focused costs such as health care (the elderly use a lot of health services and prescription medicines), skilled nursing care (the elderly are often unable to care for themselves and need help with daily activities), pensions/social security (sicne the elderly are no longer working they will need an income stream). </w:t>
      </w:r>
    </w:p>
    <w:p w14:paraId="26B71D55" w14:textId="77777777" w:rsidR="001A39CD" w:rsidRDefault="00646C82">
      <w:pPr>
        <w:numPr>
          <w:ilvl w:val="3"/>
          <w:numId w:val="2"/>
        </w:numPr>
        <w:spacing w:after="0" w:line="240" w:lineRule="auto"/>
        <w:rPr>
          <w:sz w:val="20"/>
          <w:szCs w:val="20"/>
        </w:rPr>
      </w:pPr>
      <w:r>
        <w:rPr>
          <w:color w:val="FF0000"/>
          <w:sz w:val="20"/>
          <w:szCs w:val="20"/>
        </w:rPr>
        <w:t>shrinking workforce will affect the country’s ability to fill (</w:t>
      </w:r>
      <w:proofErr w:type="gramStart"/>
      <w:r>
        <w:rPr>
          <w:color w:val="FF0000"/>
          <w:sz w:val="20"/>
          <w:szCs w:val="20"/>
        </w:rPr>
        <w:t>low-skill</w:t>
      </w:r>
      <w:proofErr w:type="gramEnd"/>
      <w:r>
        <w:rPr>
          <w:color w:val="FF0000"/>
          <w:sz w:val="20"/>
          <w:szCs w:val="20"/>
        </w:rPr>
        <w:t>) jobs OR how a declining population leads to less consumers and less GNI per capita/economic activity.</w:t>
      </w:r>
    </w:p>
    <w:p w14:paraId="59ECFB9A" w14:textId="77777777" w:rsidR="001A39CD" w:rsidRDefault="001A39CD">
      <w:pPr>
        <w:spacing w:after="0" w:line="240" w:lineRule="auto"/>
        <w:ind w:left="2160"/>
        <w:rPr>
          <w:sz w:val="20"/>
          <w:szCs w:val="20"/>
        </w:rPr>
      </w:pPr>
    </w:p>
    <w:p w14:paraId="737D25D9" w14:textId="77777777" w:rsidR="001A39CD" w:rsidRDefault="00646C82">
      <w:pPr>
        <w:numPr>
          <w:ilvl w:val="0"/>
          <w:numId w:val="2"/>
        </w:numPr>
        <w:spacing w:after="0" w:line="240" w:lineRule="auto"/>
        <w:ind w:left="360" w:hanging="360"/>
        <w:rPr>
          <w:sz w:val="20"/>
          <w:szCs w:val="20"/>
        </w:rPr>
      </w:pPr>
      <w:r>
        <w:rPr>
          <w:b/>
          <w:sz w:val="20"/>
          <w:szCs w:val="20"/>
        </w:rPr>
        <w:t>Population dynamics in North America</w:t>
      </w:r>
    </w:p>
    <w:p w14:paraId="2321ED0C" w14:textId="77777777" w:rsidR="001A39CD" w:rsidRDefault="00646C82">
      <w:pPr>
        <w:numPr>
          <w:ilvl w:val="1"/>
          <w:numId w:val="2"/>
        </w:numPr>
        <w:spacing w:after="0" w:line="240" w:lineRule="auto"/>
        <w:ind w:left="900" w:hanging="540"/>
        <w:rPr>
          <w:sz w:val="20"/>
          <w:szCs w:val="20"/>
        </w:rPr>
      </w:pPr>
      <w:r>
        <w:rPr>
          <w:b/>
          <w:sz w:val="20"/>
          <w:szCs w:val="20"/>
        </w:rPr>
        <w:t>IDENTIFY</w:t>
      </w:r>
      <w:r>
        <w:rPr>
          <w:sz w:val="20"/>
          <w:szCs w:val="20"/>
        </w:rPr>
        <w:t xml:space="preserve"> the stage along the demographic transition where North America is located</w:t>
      </w:r>
      <w:r>
        <w:rPr>
          <w:sz w:val="20"/>
          <w:szCs w:val="20"/>
        </w:rPr>
        <w:t>.</w:t>
      </w:r>
    </w:p>
    <w:p w14:paraId="678F9889" w14:textId="77777777" w:rsidR="001A39CD" w:rsidRDefault="00646C82">
      <w:pPr>
        <w:numPr>
          <w:ilvl w:val="2"/>
          <w:numId w:val="2"/>
        </w:numPr>
        <w:spacing w:after="0" w:line="240" w:lineRule="auto"/>
        <w:rPr>
          <w:color w:val="FF0000"/>
          <w:sz w:val="20"/>
          <w:szCs w:val="20"/>
        </w:rPr>
      </w:pPr>
      <w:r>
        <w:rPr>
          <w:color w:val="FF0000"/>
          <w:sz w:val="20"/>
          <w:szCs w:val="20"/>
        </w:rPr>
        <w:t xml:space="preserve">North America is presently in stage four of the demographic transition. </w:t>
      </w:r>
    </w:p>
    <w:p w14:paraId="0ADB9BEF" w14:textId="77777777" w:rsidR="001A39CD" w:rsidRDefault="001A39CD">
      <w:pPr>
        <w:spacing w:after="0" w:line="240" w:lineRule="auto"/>
        <w:ind w:left="900" w:hanging="540"/>
        <w:rPr>
          <w:sz w:val="20"/>
          <w:szCs w:val="20"/>
        </w:rPr>
      </w:pPr>
    </w:p>
    <w:p w14:paraId="25F9E356" w14:textId="77777777" w:rsidR="001A39CD" w:rsidRDefault="00646C82">
      <w:pPr>
        <w:numPr>
          <w:ilvl w:val="1"/>
          <w:numId w:val="2"/>
        </w:numPr>
        <w:spacing w:after="0" w:line="240" w:lineRule="auto"/>
        <w:ind w:left="900" w:hanging="540"/>
        <w:rPr>
          <w:sz w:val="20"/>
          <w:szCs w:val="20"/>
        </w:rPr>
      </w:pPr>
      <w:r>
        <w:rPr>
          <w:b/>
          <w:sz w:val="20"/>
          <w:szCs w:val="20"/>
        </w:rPr>
        <w:t>IDENTIFY</w:t>
      </w:r>
      <w:r>
        <w:rPr>
          <w:sz w:val="20"/>
          <w:szCs w:val="20"/>
        </w:rPr>
        <w:t xml:space="preserve"> what its placement along the DTM would imply about population growth in North America</w:t>
      </w:r>
      <w:r>
        <w:rPr>
          <w:sz w:val="20"/>
          <w:szCs w:val="20"/>
        </w:rPr>
        <w:t>.</w:t>
      </w:r>
    </w:p>
    <w:p w14:paraId="7E9326F7" w14:textId="77777777" w:rsidR="001A39CD" w:rsidRDefault="00646C82">
      <w:pPr>
        <w:numPr>
          <w:ilvl w:val="2"/>
          <w:numId w:val="2"/>
        </w:numPr>
        <w:spacing w:after="0" w:line="240" w:lineRule="auto"/>
        <w:rPr>
          <w:color w:val="FF0000"/>
          <w:sz w:val="20"/>
          <w:szCs w:val="20"/>
        </w:rPr>
      </w:pPr>
      <w:r>
        <w:rPr>
          <w:color w:val="FF0000"/>
          <w:sz w:val="20"/>
          <w:szCs w:val="20"/>
        </w:rPr>
        <w:t xml:space="preserve">Being in stage </w:t>
      </w:r>
      <w:proofErr w:type="gramStart"/>
      <w:r>
        <w:rPr>
          <w:color w:val="FF0000"/>
          <w:sz w:val="20"/>
          <w:szCs w:val="20"/>
        </w:rPr>
        <w:t>four,</w:t>
      </w:r>
      <w:proofErr w:type="gramEnd"/>
      <w:r>
        <w:rPr>
          <w:color w:val="FF0000"/>
          <w:sz w:val="20"/>
          <w:szCs w:val="20"/>
        </w:rPr>
        <w:t xml:space="preserve"> would imply that North America is experiencing zero or near zero population growth.</w:t>
      </w:r>
    </w:p>
    <w:p w14:paraId="6E4AD1EE" w14:textId="77777777" w:rsidR="001A39CD" w:rsidRDefault="001A39CD">
      <w:pPr>
        <w:spacing w:after="0" w:line="240" w:lineRule="auto"/>
        <w:ind w:left="900" w:hanging="540"/>
        <w:rPr>
          <w:sz w:val="20"/>
          <w:szCs w:val="20"/>
        </w:rPr>
      </w:pPr>
    </w:p>
    <w:p w14:paraId="47648F92" w14:textId="77777777" w:rsidR="001A39CD" w:rsidRDefault="00646C82">
      <w:pPr>
        <w:numPr>
          <w:ilvl w:val="1"/>
          <w:numId w:val="2"/>
        </w:numPr>
        <w:spacing w:after="0" w:line="240" w:lineRule="auto"/>
        <w:ind w:left="900" w:right="-270" w:hanging="540"/>
        <w:rPr>
          <w:sz w:val="20"/>
          <w:szCs w:val="20"/>
        </w:rPr>
      </w:pPr>
      <w:r>
        <w:rPr>
          <w:sz w:val="20"/>
          <w:szCs w:val="20"/>
        </w:rPr>
        <w:t xml:space="preserve">(According to its NIR, North America’s population should reach 402 million by 2050.  Yet the Population Reference Bureau estimates North America’s population to be 435 million in 2050) </w:t>
      </w:r>
      <w:r>
        <w:rPr>
          <w:b/>
          <w:sz w:val="20"/>
          <w:szCs w:val="20"/>
        </w:rPr>
        <w:t>IDENTIFY</w:t>
      </w:r>
      <w:r>
        <w:rPr>
          <w:sz w:val="20"/>
          <w:szCs w:val="20"/>
        </w:rPr>
        <w:t xml:space="preserve"> what you think accounts for this difference.</w:t>
      </w:r>
    </w:p>
    <w:p w14:paraId="77E4B478" w14:textId="77777777" w:rsidR="001A39CD" w:rsidRDefault="00646C82">
      <w:pPr>
        <w:numPr>
          <w:ilvl w:val="2"/>
          <w:numId w:val="2"/>
        </w:numPr>
        <w:spacing w:after="0" w:line="240" w:lineRule="auto"/>
        <w:ind w:right="-270"/>
        <w:rPr>
          <w:color w:val="FF0000"/>
          <w:sz w:val="20"/>
          <w:szCs w:val="20"/>
        </w:rPr>
      </w:pPr>
      <w:r>
        <w:rPr>
          <w:color w:val="FF0000"/>
          <w:sz w:val="20"/>
          <w:szCs w:val="20"/>
        </w:rPr>
        <w:t>The difference between North America’s population based on NIR and its population based on the estimate by the Population Reference Bureau is due to immigration.  North America’s population growth will be primarily caused to immigration as it is a stage four country.</w:t>
      </w:r>
    </w:p>
    <w:p w14:paraId="1BEC5708" w14:textId="77777777" w:rsidR="001A39CD" w:rsidRDefault="001A39CD">
      <w:pPr>
        <w:spacing w:after="0" w:line="240" w:lineRule="auto"/>
        <w:ind w:left="1440" w:right="-270"/>
        <w:rPr>
          <w:color w:val="FF0000"/>
          <w:sz w:val="20"/>
          <w:szCs w:val="20"/>
        </w:rPr>
      </w:pPr>
    </w:p>
    <w:p w14:paraId="54D39610" w14:textId="77777777" w:rsidR="001A39CD" w:rsidRDefault="001A39CD">
      <w:pPr>
        <w:spacing w:after="0" w:line="240" w:lineRule="auto"/>
        <w:ind w:left="360"/>
        <w:rPr>
          <w:sz w:val="20"/>
          <w:szCs w:val="20"/>
        </w:rPr>
      </w:pPr>
    </w:p>
    <w:p w14:paraId="5430BA94" w14:textId="77777777" w:rsidR="001A39CD" w:rsidRDefault="00646C82">
      <w:pPr>
        <w:numPr>
          <w:ilvl w:val="0"/>
          <w:numId w:val="2"/>
        </w:numPr>
        <w:spacing w:after="0" w:line="240" w:lineRule="auto"/>
        <w:ind w:left="360" w:hanging="360"/>
        <w:rPr>
          <w:sz w:val="20"/>
          <w:szCs w:val="20"/>
        </w:rPr>
      </w:pPr>
      <w:r>
        <w:rPr>
          <w:b/>
          <w:sz w:val="20"/>
          <w:szCs w:val="20"/>
        </w:rPr>
        <w:t>Relationship between TFR and IMR</w:t>
      </w:r>
    </w:p>
    <w:p w14:paraId="6C72A6A4" w14:textId="77777777" w:rsidR="001A39CD" w:rsidRDefault="00646C82">
      <w:pPr>
        <w:numPr>
          <w:ilvl w:val="1"/>
          <w:numId w:val="2"/>
        </w:numPr>
        <w:spacing w:after="0" w:line="240" w:lineRule="auto"/>
        <w:ind w:left="900" w:hanging="540"/>
        <w:rPr>
          <w:sz w:val="20"/>
          <w:szCs w:val="20"/>
        </w:rPr>
      </w:pPr>
      <w:r>
        <w:rPr>
          <w:b/>
          <w:sz w:val="20"/>
          <w:szCs w:val="20"/>
        </w:rPr>
        <w:t>EXPLAIN</w:t>
      </w:r>
      <w:r>
        <w:rPr>
          <w:sz w:val="20"/>
          <w:szCs w:val="20"/>
        </w:rPr>
        <w:t xml:space="preserve"> </w:t>
      </w:r>
      <w:r>
        <w:rPr>
          <w:sz w:val="20"/>
          <w:szCs w:val="20"/>
        </w:rPr>
        <w:t xml:space="preserve">how the IMR affects </w:t>
      </w:r>
      <w:r>
        <w:rPr>
          <w:sz w:val="20"/>
          <w:szCs w:val="20"/>
        </w:rPr>
        <w:t>TFR with reference to table above.</w:t>
      </w:r>
    </w:p>
    <w:p w14:paraId="056FCA7B"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define IMR (and TFR if this was a </w:t>
      </w:r>
      <w:proofErr w:type="gramStart"/>
      <w:r>
        <w:rPr>
          <w:color w:val="FF0000"/>
          <w:sz w:val="20"/>
          <w:szCs w:val="20"/>
        </w:rPr>
        <w:t>stand alone</w:t>
      </w:r>
      <w:proofErr w:type="gramEnd"/>
      <w:r>
        <w:rPr>
          <w:color w:val="FF0000"/>
          <w:sz w:val="20"/>
          <w:szCs w:val="20"/>
        </w:rPr>
        <w:t xml:space="preserve"> assignment or different prompt on the AP Exam) as the Infant Mortality Rate or the number of children who die in their first year of life based on 1,000 live births in a society.</w:t>
      </w:r>
    </w:p>
    <w:p w14:paraId="2CB78F8D" w14:textId="77777777" w:rsidR="001A39CD" w:rsidRDefault="00646C82">
      <w:pPr>
        <w:numPr>
          <w:ilvl w:val="2"/>
          <w:numId w:val="2"/>
        </w:numPr>
        <w:spacing w:after="0" w:line="240" w:lineRule="auto"/>
        <w:rPr>
          <w:color w:val="FF0000"/>
          <w:sz w:val="20"/>
          <w:szCs w:val="20"/>
        </w:rPr>
      </w:pPr>
      <w:r>
        <w:rPr>
          <w:color w:val="FF0000"/>
          <w:sz w:val="20"/>
          <w:szCs w:val="20"/>
        </w:rPr>
        <w:t>A higher TFR doesn’t necessarily cause a higher IMR.  They are rates not absolute numbers, saying having more babies results in more infant deaths is correct in absolute numbers but not necessarily true in rates since it is compared to the number of live births.</w:t>
      </w:r>
    </w:p>
    <w:p w14:paraId="190AD6E9"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state that when IMR this </w:t>
      </w:r>
      <w:proofErr w:type="gramStart"/>
      <w:r>
        <w:rPr>
          <w:color w:val="FF0000"/>
          <w:sz w:val="20"/>
          <w:szCs w:val="20"/>
        </w:rPr>
        <w:t>causes  TFR</w:t>
      </w:r>
      <w:proofErr w:type="gramEnd"/>
      <w:r>
        <w:rPr>
          <w:color w:val="FF0000"/>
          <w:sz w:val="20"/>
          <w:szCs w:val="20"/>
        </w:rPr>
        <w:t xml:space="preserve"> to be higher</w:t>
      </w:r>
    </w:p>
    <w:p w14:paraId="4FE37572"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reference evidence form the table to support their answer </w:t>
      </w:r>
      <w:proofErr w:type="gramStart"/>
      <w:r>
        <w:rPr>
          <w:color w:val="FF0000"/>
          <w:sz w:val="20"/>
          <w:szCs w:val="20"/>
        </w:rPr>
        <w:t>conclusion</w:t>
      </w:r>
      <w:proofErr w:type="gramEnd"/>
    </w:p>
    <w:p w14:paraId="641D7738" w14:textId="77777777" w:rsidR="001A39CD" w:rsidRDefault="00646C82">
      <w:pPr>
        <w:numPr>
          <w:ilvl w:val="2"/>
          <w:numId w:val="2"/>
        </w:numPr>
        <w:spacing w:after="0" w:line="240" w:lineRule="auto"/>
        <w:rPr>
          <w:color w:val="FF0000"/>
          <w:sz w:val="20"/>
          <w:szCs w:val="20"/>
        </w:rPr>
      </w:pPr>
      <w:r>
        <w:rPr>
          <w:color w:val="FF0000"/>
          <w:sz w:val="20"/>
          <w:szCs w:val="20"/>
        </w:rPr>
        <w:t>Students should state a reason for this relationship (EXPLAIN prompt)</w:t>
      </w:r>
    </w:p>
    <w:p w14:paraId="59739342" w14:textId="77777777" w:rsidR="001A39CD" w:rsidRDefault="00646C82">
      <w:pPr>
        <w:numPr>
          <w:ilvl w:val="3"/>
          <w:numId w:val="2"/>
        </w:numPr>
        <w:spacing w:after="0" w:line="240" w:lineRule="auto"/>
        <w:rPr>
          <w:color w:val="FF0000"/>
          <w:sz w:val="20"/>
          <w:szCs w:val="20"/>
        </w:rPr>
      </w:pPr>
      <w:r>
        <w:rPr>
          <w:color w:val="FF0000"/>
          <w:sz w:val="20"/>
          <w:szCs w:val="20"/>
        </w:rPr>
        <w:t>LDC/subsistence farmers view children as economic assets.  Since many children die in infancy, LDC parents will continue to have more children in hopes of having some of them live to help with farming.</w:t>
      </w:r>
    </w:p>
    <w:p w14:paraId="41E524BE" w14:textId="77777777" w:rsidR="001A39CD" w:rsidRDefault="001A39CD">
      <w:pPr>
        <w:spacing w:after="0" w:line="240" w:lineRule="auto"/>
        <w:ind w:left="1440"/>
        <w:rPr>
          <w:sz w:val="20"/>
          <w:szCs w:val="20"/>
        </w:rPr>
      </w:pPr>
    </w:p>
    <w:p w14:paraId="0EBF57BB" w14:textId="77777777" w:rsidR="001A39CD" w:rsidRDefault="00646C82">
      <w:pPr>
        <w:numPr>
          <w:ilvl w:val="0"/>
          <w:numId w:val="2"/>
        </w:numPr>
        <w:spacing w:after="0" w:line="240" w:lineRule="auto"/>
        <w:ind w:left="360" w:hanging="360"/>
        <w:rPr>
          <w:sz w:val="20"/>
          <w:szCs w:val="20"/>
        </w:rPr>
      </w:pPr>
      <w:r>
        <w:rPr>
          <w:b/>
          <w:sz w:val="20"/>
          <w:szCs w:val="20"/>
        </w:rPr>
        <w:t>Relationship between urbanization and NIR</w:t>
      </w:r>
    </w:p>
    <w:p w14:paraId="5D955814" w14:textId="77777777" w:rsidR="001A39CD" w:rsidRDefault="00646C82">
      <w:pPr>
        <w:numPr>
          <w:ilvl w:val="1"/>
          <w:numId w:val="2"/>
        </w:numPr>
        <w:spacing w:after="0" w:line="240" w:lineRule="auto"/>
        <w:ind w:left="900" w:hanging="540"/>
        <w:rPr>
          <w:sz w:val="20"/>
          <w:szCs w:val="20"/>
        </w:rPr>
      </w:pPr>
      <w:r>
        <w:rPr>
          <w:b/>
          <w:sz w:val="20"/>
          <w:szCs w:val="20"/>
        </w:rPr>
        <w:t>EXPLAIN</w:t>
      </w:r>
      <w:r>
        <w:rPr>
          <w:sz w:val="20"/>
          <w:szCs w:val="20"/>
        </w:rPr>
        <w:t xml:space="preserve"> the relationship between the urbanization rate and NIR with reference to the table above. </w:t>
      </w:r>
    </w:p>
    <w:p w14:paraId="4560EB7B" w14:textId="77777777" w:rsidR="001A39CD" w:rsidRDefault="00646C82">
      <w:pPr>
        <w:numPr>
          <w:ilvl w:val="2"/>
          <w:numId w:val="2"/>
        </w:numPr>
        <w:spacing w:after="0" w:line="240" w:lineRule="auto"/>
        <w:rPr>
          <w:color w:val="FF0000"/>
          <w:sz w:val="20"/>
          <w:szCs w:val="20"/>
        </w:rPr>
      </w:pPr>
      <w:r>
        <w:rPr>
          <w:color w:val="FF0000"/>
          <w:sz w:val="20"/>
          <w:szCs w:val="20"/>
        </w:rPr>
        <w:t xml:space="preserve">Urbanization probably doesn't need to be defined since its definition is </w:t>
      </w:r>
      <w:proofErr w:type="gramStart"/>
      <w:r>
        <w:rPr>
          <w:color w:val="FF0000"/>
          <w:sz w:val="20"/>
          <w:szCs w:val="20"/>
        </w:rPr>
        <w:t>obvious</w:t>
      </w:r>
      <w:proofErr w:type="gramEnd"/>
    </w:p>
    <w:p w14:paraId="32369CF5" w14:textId="77777777" w:rsidR="001A39CD" w:rsidRDefault="00646C82">
      <w:pPr>
        <w:numPr>
          <w:ilvl w:val="2"/>
          <w:numId w:val="2"/>
        </w:numPr>
        <w:spacing w:after="0" w:line="240" w:lineRule="auto"/>
        <w:rPr>
          <w:color w:val="FF0000"/>
          <w:sz w:val="20"/>
          <w:szCs w:val="20"/>
        </w:rPr>
      </w:pPr>
      <w:r>
        <w:rPr>
          <w:color w:val="FF0000"/>
          <w:sz w:val="20"/>
          <w:szCs w:val="20"/>
        </w:rPr>
        <w:t xml:space="preserve">NIR should be at least identified (Natural Increase Rate) and most likely defined if this was a </w:t>
      </w:r>
      <w:proofErr w:type="gramStart"/>
      <w:r>
        <w:rPr>
          <w:color w:val="FF0000"/>
          <w:sz w:val="20"/>
          <w:szCs w:val="20"/>
        </w:rPr>
        <w:t>stand alone</w:t>
      </w:r>
      <w:proofErr w:type="gramEnd"/>
      <w:r>
        <w:rPr>
          <w:color w:val="FF0000"/>
          <w:sz w:val="20"/>
          <w:szCs w:val="20"/>
        </w:rPr>
        <w:t xml:space="preserve"> question or a separate series of FRQ prompts from which it was previously identified or defined.</w:t>
      </w:r>
    </w:p>
    <w:p w14:paraId="74304395" w14:textId="77777777" w:rsidR="001A39CD" w:rsidRDefault="00646C82">
      <w:pPr>
        <w:numPr>
          <w:ilvl w:val="2"/>
          <w:numId w:val="2"/>
        </w:numPr>
        <w:spacing w:after="0" w:line="240" w:lineRule="auto"/>
        <w:rPr>
          <w:color w:val="FF0000"/>
          <w:sz w:val="20"/>
          <w:szCs w:val="20"/>
        </w:rPr>
      </w:pPr>
      <w:r>
        <w:rPr>
          <w:color w:val="FF0000"/>
          <w:sz w:val="20"/>
          <w:szCs w:val="20"/>
        </w:rPr>
        <w:t xml:space="preserve">As urbanization goes up, NIR goes </w:t>
      </w:r>
      <w:proofErr w:type="gramStart"/>
      <w:r>
        <w:rPr>
          <w:color w:val="FF0000"/>
          <w:sz w:val="20"/>
          <w:szCs w:val="20"/>
        </w:rPr>
        <w:t>down</w:t>
      </w:r>
      <w:proofErr w:type="gramEnd"/>
    </w:p>
    <w:p w14:paraId="7A9DB07F"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cite evidence from the chart above support this </w:t>
      </w:r>
      <w:proofErr w:type="gramStart"/>
      <w:r>
        <w:rPr>
          <w:color w:val="FF0000"/>
          <w:sz w:val="20"/>
          <w:szCs w:val="20"/>
        </w:rPr>
        <w:t>relationship</w:t>
      </w:r>
      <w:proofErr w:type="gramEnd"/>
      <w:r>
        <w:rPr>
          <w:color w:val="FF0000"/>
          <w:sz w:val="20"/>
          <w:szCs w:val="20"/>
        </w:rPr>
        <w:t xml:space="preserve"> </w:t>
      </w:r>
    </w:p>
    <w:p w14:paraId="0E8904A1" w14:textId="77777777" w:rsidR="001A39CD" w:rsidRDefault="00646C82">
      <w:pPr>
        <w:numPr>
          <w:ilvl w:val="2"/>
          <w:numId w:val="2"/>
        </w:numPr>
        <w:spacing w:after="0" w:line="240" w:lineRule="auto"/>
        <w:rPr>
          <w:color w:val="FF0000"/>
          <w:sz w:val="20"/>
          <w:szCs w:val="20"/>
        </w:rPr>
      </w:pPr>
      <w:r>
        <w:rPr>
          <w:color w:val="FF0000"/>
          <w:sz w:val="20"/>
          <w:szCs w:val="20"/>
        </w:rPr>
        <w:t>Students should provide an explanation of why this happens (EXPLAIN prompt!)</w:t>
      </w:r>
    </w:p>
    <w:p w14:paraId="39835E25" w14:textId="77777777" w:rsidR="001A39CD" w:rsidRDefault="00646C82">
      <w:pPr>
        <w:numPr>
          <w:ilvl w:val="3"/>
          <w:numId w:val="2"/>
        </w:numPr>
        <w:spacing w:after="0" w:line="240" w:lineRule="auto"/>
        <w:rPr>
          <w:color w:val="FF0000"/>
          <w:sz w:val="20"/>
          <w:szCs w:val="20"/>
        </w:rPr>
      </w:pPr>
      <w:r>
        <w:rPr>
          <w:color w:val="FF0000"/>
          <w:sz w:val="20"/>
          <w:szCs w:val="20"/>
        </w:rPr>
        <w:t xml:space="preserve">As people migrate to </w:t>
      </w:r>
      <w:proofErr w:type="gramStart"/>
      <w:r>
        <w:rPr>
          <w:color w:val="FF0000"/>
          <w:sz w:val="20"/>
          <w:szCs w:val="20"/>
        </w:rPr>
        <w:t>cities</w:t>
      </w:r>
      <w:proofErr w:type="gramEnd"/>
      <w:r>
        <w:rPr>
          <w:color w:val="FF0000"/>
          <w:sz w:val="20"/>
          <w:szCs w:val="20"/>
        </w:rPr>
        <w:t xml:space="preserve"> they realize children are economic burdens who need to be fed, sheltered, clothed and educated without providing a useful economic return to the family.</w:t>
      </w:r>
    </w:p>
    <w:p w14:paraId="7FBF7A1E" w14:textId="77777777" w:rsidR="001A39CD" w:rsidRDefault="00646C82">
      <w:pPr>
        <w:numPr>
          <w:ilvl w:val="3"/>
          <w:numId w:val="2"/>
        </w:numPr>
        <w:spacing w:after="0" w:line="240" w:lineRule="auto"/>
        <w:rPr>
          <w:color w:val="FF0000"/>
          <w:sz w:val="20"/>
          <w:szCs w:val="20"/>
        </w:rPr>
      </w:pPr>
      <w:r>
        <w:rPr>
          <w:color w:val="FF0000"/>
          <w:sz w:val="20"/>
          <w:szCs w:val="20"/>
        </w:rPr>
        <w:t xml:space="preserve">women are exposed to more secular, less traditional values in urban settings such as access to contraceptives and a reduction in female </w:t>
      </w:r>
      <w:proofErr w:type="gramStart"/>
      <w:r>
        <w:rPr>
          <w:color w:val="FF0000"/>
          <w:sz w:val="20"/>
          <w:szCs w:val="20"/>
        </w:rPr>
        <w:t>subservience</w:t>
      </w:r>
      <w:proofErr w:type="gramEnd"/>
      <w:r>
        <w:rPr>
          <w:color w:val="FF0000"/>
          <w:sz w:val="20"/>
          <w:szCs w:val="20"/>
        </w:rPr>
        <w:t xml:space="preserve"> </w:t>
      </w:r>
    </w:p>
    <w:p w14:paraId="6FBCD871" w14:textId="77777777" w:rsidR="001A39CD" w:rsidRDefault="001A39CD">
      <w:pPr>
        <w:spacing w:after="0" w:line="240" w:lineRule="auto"/>
        <w:ind w:left="1440"/>
        <w:rPr>
          <w:sz w:val="20"/>
          <w:szCs w:val="20"/>
        </w:rPr>
      </w:pPr>
    </w:p>
    <w:p w14:paraId="3AC85785" w14:textId="77777777" w:rsidR="001A39CD" w:rsidRDefault="001A39CD">
      <w:pPr>
        <w:spacing w:after="0" w:line="240" w:lineRule="auto"/>
        <w:ind w:left="360"/>
        <w:rPr>
          <w:sz w:val="20"/>
          <w:szCs w:val="20"/>
        </w:rPr>
      </w:pPr>
    </w:p>
    <w:p w14:paraId="32D25585" w14:textId="77777777" w:rsidR="001A39CD" w:rsidRDefault="00646C82">
      <w:pPr>
        <w:numPr>
          <w:ilvl w:val="0"/>
          <w:numId w:val="2"/>
        </w:numPr>
        <w:spacing w:after="0" w:line="240" w:lineRule="auto"/>
        <w:ind w:left="360" w:hanging="360"/>
        <w:rPr>
          <w:sz w:val="20"/>
          <w:szCs w:val="20"/>
        </w:rPr>
      </w:pPr>
      <w:r>
        <w:rPr>
          <w:b/>
          <w:sz w:val="20"/>
          <w:szCs w:val="20"/>
        </w:rPr>
        <w:t>Relationship between GNI per capita and NIR</w:t>
      </w:r>
    </w:p>
    <w:p w14:paraId="4A279EBD" w14:textId="77777777" w:rsidR="001A39CD" w:rsidRDefault="00646C82">
      <w:pPr>
        <w:numPr>
          <w:ilvl w:val="1"/>
          <w:numId w:val="2"/>
        </w:numPr>
        <w:spacing w:after="0" w:line="240" w:lineRule="auto"/>
        <w:ind w:left="900" w:hanging="540"/>
        <w:rPr>
          <w:sz w:val="20"/>
          <w:szCs w:val="20"/>
        </w:rPr>
      </w:pPr>
      <w:r>
        <w:rPr>
          <w:b/>
          <w:sz w:val="20"/>
          <w:szCs w:val="20"/>
        </w:rPr>
        <w:t>DESCRIBE</w:t>
      </w:r>
      <w:r>
        <w:rPr>
          <w:sz w:val="20"/>
          <w:szCs w:val="20"/>
        </w:rPr>
        <w:t xml:space="preserve"> the general relationship between GNI per capita and the NIR and evidenced in the table above</w:t>
      </w:r>
      <w:r>
        <w:rPr>
          <w:sz w:val="20"/>
          <w:szCs w:val="20"/>
        </w:rPr>
        <w:t>.</w:t>
      </w:r>
    </w:p>
    <w:p w14:paraId="6D01A72D" w14:textId="77777777" w:rsidR="001A39CD" w:rsidRDefault="00646C82">
      <w:pPr>
        <w:numPr>
          <w:ilvl w:val="2"/>
          <w:numId w:val="2"/>
        </w:numPr>
        <w:spacing w:after="0" w:line="240" w:lineRule="auto"/>
        <w:rPr>
          <w:color w:val="FF0000"/>
          <w:sz w:val="20"/>
          <w:szCs w:val="20"/>
        </w:rPr>
      </w:pPr>
      <w:r>
        <w:rPr>
          <w:color w:val="FF0000"/>
          <w:sz w:val="20"/>
          <w:szCs w:val="20"/>
        </w:rPr>
        <w:t>Students should identify and define GNI per capita as the (Gross National Income per capita) which is the total economic output of a country divided by its population.</w:t>
      </w:r>
    </w:p>
    <w:p w14:paraId="7377667A"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identify NIR (Natural Increase Rate) in their responses and define if this was a </w:t>
      </w:r>
      <w:proofErr w:type="gramStart"/>
      <w:r>
        <w:rPr>
          <w:color w:val="FF0000"/>
          <w:sz w:val="20"/>
          <w:szCs w:val="20"/>
        </w:rPr>
        <w:t>stand alone</w:t>
      </w:r>
      <w:proofErr w:type="gramEnd"/>
      <w:r>
        <w:rPr>
          <w:color w:val="FF0000"/>
          <w:sz w:val="20"/>
          <w:szCs w:val="20"/>
        </w:rPr>
        <w:t xml:space="preserve"> prompt or if it had not been defined under previous prompt with the series (a - g)</w:t>
      </w:r>
    </w:p>
    <w:p w14:paraId="46A33D59" w14:textId="77777777" w:rsidR="001A39CD" w:rsidRDefault="00646C82">
      <w:pPr>
        <w:numPr>
          <w:ilvl w:val="2"/>
          <w:numId w:val="2"/>
        </w:numPr>
        <w:spacing w:after="0" w:line="240" w:lineRule="auto"/>
        <w:rPr>
          <w:color w:val="FF0000"/>
          <w:sz w:val="20"/>
          <w:szCs w:val="20"/>
        </w:rPr>
      </w:pPr>
      <w:r>
        <w:rPr>
          <w:color w:val="FF0000"/>
          <w:sz w:val="20"/>
          <w:szCs w:val="20"/>
        </w:rPr>
        <w:t>Students should state that as NIR goes up NIR goes down (inverse relationship).</w:t>
      </w:r>
    </w:p>
    <w:p w14:paraId="7F754FE0" w14:textId="77777777" w:rsidR="001A39CD" w:rsidRDefault="00646C82">
      <w:pPr>
        <w:numPr>
          <w:ilvl w:val="2"/>
          <w:numId w:val="2"/>
        </w:numPr>
        <w:spacing w:after="0" w:line="240" w:lineRule="auto"/>
        <w:rPr>
          <w:color w:val="FF0000"/>
          <w:sz w:val="20"/>
          <w:szCs w:val="20"/>
        </w:rPr>
      </w:pPr>
      <w:r>
        <w:rPr>
          <w:color w:val="FF0000"/>
          <w:sz w:val="20"/>
          <w:szCs w:val="20"/>
        </w:rPr>
        <w:t>Students should cite evidence from the chart to support this conclusion.</w:t>
      </w:r>
    </w:p>
    <w:p w14:paraId="52864EB1" w14:textId="77777777" w:rsidR="001A39CD" w:rsidRDefault="001A39CD">
      <w:pPr>
        <w:spacing w:after="0" w:line="240" w:lineRule="auto"/>
        <w:ind w:left="360"/>
        <w:rPr>
          <w:sz w:val="20"/>
          <w:szCs w:val="20"/>
        </w:rPr>
      </w:pPr>
    </w:p>
    <w:p w14:paraId="0585C222" w14:textId="77777777" w:rsidR="001A39CD" w:rsidRDefault="00646C82">
      <w:pPr>
        <w:numPr>
          <w:ilvl w:val="0"/>
          <w:numId w:val="2"/>
        </w:numPr>
        <w:spacing w:after="0" w:line="240" w:lineRule="auto"/>
        <w:ind w:left="360" w:hanging="360"/>
        <w:rPr>
          <w:sz w:val="20"/>
          <w:szCs w:val="20"/>
        </w:rPr>
      </w:pPr>
      <w:r>
        <w:rPr>
          <w:b/>
          <w:sz w:val="20"/>
          <w:szCs w:val="20"/>
        </w:rPr>
        <w:t>Relationship between Crude Death Rate (CDR) and Development</w:t>
      </w:r>
    </w:p>
    <w:p w14:paraId="7775400E" w14:textId="77777777" w:rsidR="001A39CD" w:rsidRDefault="00646C82">
      <w:pPr>
        <w:numPr>
          <w:ilvl w:val="1"/>
          <w:numId w:val="2"/>
        </w:numPr>
        <w:spacing w:after="0" w:line="240" w:lineRule="auto"/>
        <w:ind w:left="900" w:hanging="540"/>
        <w:rPr>
          <w:sz w:val="20"/>
          <w:szCs w:val="20"/>
        </w:rPr>
      </w:pPr>
      <w:r>
        <w:rPr>
          <w:b/>
          <w:sz w:val="20"/>
          <w:szCs w:val="20"/>
        </w:rPr>
        <w:t>COMPARE</w:t>
      </w:r>
      <w:r>
        <w:rPr>
          <w:sz w:val="20"/>
          <w:szCs w:val="20"/>
        </w:rPr>
        <w:t xml:space="preserve"> the crude death rate in MDCs to that of LDCs.</w:t>
      </w:r>
    </w:p>
    <w:p w14:paraId="682751A5" w14:textId="77777777" w:rsidR="001A39CD" w:rsidRDefault="00646C82">
      <w:pPr>
        <w:numPr>
          <w:ilvl w:val="2"/>
          <w:numId w:val="2"/>
        </w:numPr>
        <w:spacing w:after="0" w:line="240" w:lineRule="auto"/>
        <w:rPr>
          <w:color w:val="FF0000"/>
          <w:sz w:val="20"/>
          <w:szCs w:val="20"/>
        </w:rPr>
      </w:pPr>
      <w:r>
        <w:rPr>
          <w:color w:val="FF0000"/>
          <w:sz w:val="20"/>
          <w:szCs w:val="20"/>
        </w:rPr>
        <w:t xml:space="preserve">crude death rate should be defined as the total number of deaths in a society based on 1,000 </w:t>
      </w:r>
      <w:proofErr w:type="gramStart"/>
      <w:r>
        <w:rPr>
          <w:color w:val="FF0000"/>
          <w:sz w:val="20"/>
          <w:szCs w:val="20"/>
        </w:rPr>
        <w:t>people</w:t>
      </w:r>
      <w:proofErr w:type="gramEnd"/>
    </w:p>
    <w:p w14:paraId="47740AD2" w14:textId="77777777" w:rsidR="001A39CD" w:rsidRDefault="00646C82">
      <w:pPr>
        <w:numPr>
          <w:ilvl w:val="2"/>
          <w:numId w:val="2"/>
        </w:numPr>
        <w:spacing w:after="0" w:line="240" w:lineRule="auto"/>
        <w:rPr>
          <w:color w:val="FF0000"/>
          <w:sz w:val="20"/>
          <w:szCs w:val="20"/>
        </w:rPr>
      </w:pPr>
      <w:r>
        <w:rPr>
          <w:color w:val="FF0000"/>
          <w:sz w:val="20"/>
          <w:szCs w:val="20"/>
        </w:rPr>
        <w:t>students should state that the crude death rate is higher in MDCs than LDCs.</w:t>
      </w:r>
    </w:p>
    <w:p w14:paraId="49CFF900"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cite evidence from the chart to support this </w:t>
      </w:r>
      <w:proofErr w:type="gramStart"/>
      <w:r>
        <w:rPr>
          <w:color w:val="FF0000"/>
          <w:sz w:val="20"/>
          <w:szCs w:val="20"/>
        </w:rPr>
        <w:t>statement</w:t>
      </w:r>
      <w:proofErr w:type="gramEnd"/>
    </w:p>
    <w:p w14:paraId="4A903F41" w14:textId="77777777" w:rsidR="001A39CD" w:rsidRDefault="001A39CD">
      <w:pPr>
        <w:spacing w:after="0" w:line="240" w:lineRule="auto"/>
        <w:ind w:left="900" w:hanging="540"/>
        <w:rPr>
          <w:sz w:val="20"/>
          <w:szCs w:val="20"/>
        </w:rPr>
      </w:pPr>
    </w:p>
    <w:p w14:paraId="1AD77AAE" w14:textId="77777777" w:rsidR="001A39CD" w:rsidRDefault="00646C82">
      <w:pPr>
        <w:numPr>
          <w:ilvl w:val="1"/>
          <w:numId w:val="2"/>
        </w:numPr>
        <w:spacing w:after="0" w:line="240" w:lineRule="auto"/>
        <w:ind w:left="900" w:hanging="540"/>
        <w:rPr>
          <w:sz w:val="20"/>
          <w:szCs w:val="20"/>
        </w:rPr>
      </w:pPr>
      <w:r>
        <w:rPr>
          <w:b/>
          <w:sz w:val="20"/>
          <w:szCs w:val="20"/>
        </w:rPr>
        <w:t>EXPLAIN</w:t>
      </w:r>
      <w:r>
        <w:rPr>
          <w:sz w:val="20"/>
          <w:szCs w:val="20"/>
        </w:rPr>
        <w:t xml:space="preserve"> </w:t>
      </w:r>
      <w:r>
        <w:rPr>
          <w:sz w:val="20"/>
          <w:szCs w:val="20"/>
        </w:rPr>
        <w:t>one reason for the differences between the crude death rate in MDCs and LDCs.</w:t>
      </w:r>
    </w:p>
    <w:p w14:paraId="578A256C" w14:textId="77777777" w:rsidR="001A39CD" w:rsidRDefault="00646C82">
      <w:pPr>
        <w:numPr>
          <w:ilvl w:val="2"/>
          <w:numId w:val="2"/>
        </w:numPr>
        <w:spacing w:after="0" w:line="240" w:lineRule="auto"/>
        <w:rPr>
          <w:color w:val="FF0000"/>
          <w:sz w:val="20"/>
          <w:szCs w:val="20"/>
        </w:rPr>
      </w:pPr>
      <w:r>
        <w:rPr>
          <w:color w:val="FF0000"/>
          <w:sz w:val="20"/>
          <w:szCs w:val="20"/>
        </w:rPr>
        <w:t xml:space="preserve">Student should explain that the crude death rate in MDCs is higher </w:t>
      </w:r>
      <w:proofErr w:type="gramStart"/>
      <w:r>
        <w:rPr>
          <w:color w:val="FF0000"/>
          <w:sz w:val="20"/>
          <w:szCs w:val="20"/>
        </w:rPr>
        <w:t>because</w:t>
      </w:r>
      <w:proofErr w:type="gramEnd"/>
    </w:p>
    <w:p w14:paraId="69CA939F" w14:textId="77777777" w:rsidR="001A39CD" w:rsidRDefault="00646C82">
      <w:pPr>
        <w:numPr>
          <w:ilvl w:val="3"/>
          <w:numId w:val="2"/>
        </w:numPr>
        <w:spacing w:after="0" w:line="240" w:lineRule="auto"/>
        <w:rPr>
          <w:color w:val="FF0000"/>
          <w:sz w:val="20"/>
          <w:szCs w:val="20"/>
        </w:rPr>
      </w:pPr>
      <w:r>
        <w:rPr>
          <w:color w:val="FF0000"/>
          <w:sz w:val="20"/>
          <w:szCs w:val="20"/>
        </w:rPr>
        <w:lastRenderedPageBreak/>
        <w:t>MDCs have a larger elderly population than LDCs so more people in relation to the total population are in age cohorts experience death.</w:t>
      </w:r>
    </w:p>
    <w:p w14:paraId="1B8E307A" w14:textId="77777777" w:rsidR="001A39CD" w:rsidRDefault="00646C82">
      <w:pPr>
        <w:numPr>
          <w:ilvl w:val="3"/>
          <w:numId w:val="2"/>
        </w:numPr>
        <w:spacing w:after="0" w:line="240" w:lineRule="auto"/>
        <w:rPr>
          <w:color w:val="FF0000"/>
          <w:sz w:val="20"/>
          <w:szCs w:val="20"/>
        </w:rPr>
      </w:pPr>
      <w:r>
        <w:rPr>
          <w:color w:val="FF0000"/>
          <w:sz w:val="20"/>
          <w:szCs w:val="20"/>
        </w:rPr>
        <w:t xml:space="preserve">economic pessimism and dislocation </w:t>
      </w:r>
      <w:proofErr w:type="gramStart"/>
      <w:r>
        <w:rPr>
          <w:color w:val="FF0000"/>
          <w:sz w:val="20"/>
          <w:szCs w:val="20"/>
        </w:rPr>
        <w:t>has</w:t>
      </w:r>
      <w:proofErr w:type="gramEnd"/>
      <w:r>
        <w:rPr>
          <w:color w:val="FF0000"/>
          <w:sz w:val="20"/>
          <w:szCs w:val="20"/>
        </w:rPr>
        <w:t xml:space="preserve"> occurred in certain regions within MDCs like Eastern Europe/Russia or Appalachia in the United States that has resulted in people resorting to substance abuse in order to cope.  In Russia the rates of alcoholism among males </w:t>
      </w:r>
      <w:proofErr w:type="gramStart"/>
      <w:r>
        <w:rPr>
          <w:color w:val="FF0000"/>
          <w:sz w:val="20"/>
          <w:szCs w:val="20"/>
        </w:rPr>
        <w:t>has</w:t>
      </w:r>
      <w:proofErr w:type="gramEnd"/>
      <w:r>
        <w:rPr>
          <w:color w:val="FF0000"/>
          <w:sz w:val="20"/>
          <w:szCs w:val="20"/>
        </w:rPr>
        <w:t xml:space="preserve"> reduced their life expectancy to the low-60s and opioid dependency in Appalachia has caused the life expectancy in the US to decline for several years in a row.  </w:t>
      </w:r>
    </w:p>
    <w:p w14:paraId="38E67982" w14:textId="77777777" w:rsidR="001A39CD" w:rsidRDefault="001A39CD">
      <w:pPr>
        <w:spacing w:after="0" w:line="240" w:lineRule="auto"/>
        <w:ind w:left="1440"/>
        <w:rPr>
          <w:sz w:val="20"/>
          <w:szCs w:val="20"/>
        </w:rPr>
      </w:pPr>
    </w:p>
    <w:p w14:paraId="7CD04B1C" w14:textId="77777777" w:rsidR="001A39CD" w:rsidRDefault="00646C82">
      <w:pPr>
        <w:numPr>
          <w:ilvl w:val="0"/>
          <w:numId w:val="2"/>
        </w:numPr>
        <w:spacing w:after="0" w:line="240" w:lineRule="auto"/>
        <w:ind w:left="360" w:hanging="360"/>
        <w:rPr>
          <w:b/>
          <w:sz w:val="20"/>
          <w:szCs w:val="20"/>
        </w:rPr>
      </w:pPr>
      <w:r>
        <w:rPr>
          <w:b/>
          <w:sz w:val="20"/>
          <w:szCs w:val="20"/>
        </w:rPr>
        <w:t>Exceptions</w:t>
      </w:r>
    </w:p>
    <w:p w14:paraId="5DDE7E09" w14:textId="77777777" w:rsidR="001A39CD" w:rsidRDefault="00646C82">
      <w:pPr>
        <w:numPr>
          <w:ilvl w:val="1"/>
          <w:numId w:val="2"/>
        </w:numPr>
        <w:spacing w:after="0" w:line="240" w:lineRule="auto"/>
        <w:ind w:left="900" w:hanging="540"/>
        <w:rPr>
          <w:b/>
          <w:sz w:val="20"/>
          <w:szCs w:val="20"/>
        </w:rPr>
      </w:pPr>
      <w:r>
        <w:rPr>
          <w:b/>
          <w:sz w:val="20"/>
          <w:szCs w:val="20"/>
        </w:rPr>
        <w:t xml:space="preserve">DESCRIBE </w:t>
      </w:r>
      <w:r>
        <w:rPr>
          <w:sz w:val="20"/>
          <w:szCs w:val="20"/>
        </w:rPr>
        <w:t>how Southwest Asia violates relationships established in previous questions.</w:t>
      </w:r>
    </w:p>
    <w:p w14:paraId="3B960BB1"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state how Southwest Asia violates an established </w:t>
      </w:r>
      <w:proofErr w:type="gramStart"/>
      <w:r>
        <w:rPr>
          <w:color w:val="FF0000"/>
          <w:sz w:val="20"/>
          <w:szCs w:val="20"/>
        </w:rPr>
        <w:t>relationship</w:t>
      </w:r>
      <w:proofErr w:type="gramEnd"/>
    </w:p>
    <w:p w14:paraId="064B58C6" w14:textId="77777777" w:rsidR="001A39CD" w:rsidRDefault="00646C82">
      <w:pPr>
        <w:numPr>
          <w:ilvl w:val="3"/>
          <w:numId w:val="2"/>
        </w:numPr>
        <w:spacing w:after="0" w:line="240" w:lineRule="auto"/>
        <w:rPr>
          <w:color w:val="FF0000"/>
          <w:sz w:val="20"/>
          <w:szCs w:val="20"/>
        </w:rPr>
      </w:pPr>
      <w:r>
        <w:rPr>
          <w:color w:val="FF0000"/>
          <w:sz w:val="20"/>
          <w:szCs w:val="20"/>
        </w:rPr>
        <w:t>as GNI per capita goes up, TFR should come down, the opposite is true for Southwest Asia</w:t>
      </w:r>
    </w:p>
    <w:p w14:paraId="139964BF"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cite evidence from the chart to support this </w:t>
      </w:r>
      <w:proofErr w:type="gramStart"/>
      <w:r>
        <w:rPr>
          <w:color w:val="FF0000"/>
          <w:sz w:val="20"/>
          <w:szCs w:val="20"/>
        </w:rPr>
        <w:t>idea</w:t>
      </w:r>
      <w:proofErr w:type="gramEnd"/>
    </w:p>
    <w:p w14:paraId="7EBAAB6E" w14:textId="77777777" w:rsidR="001A39CD" w:rsidRDefault="00646C82">
      <w:pPr>
        <w:numPr>
          <w:ilvl w:val="3"/>
          <w:numId w:val="2"/>
        </w:numPr>
        <w:spacing w:after="0" w:line="240" w:lineRule="auto"/>
        <w:rPr>
          <w:color w:val="FF0000"/>
          <w:sz w:val="20"/>
          <w:szCs w:val="20"/>
        </w:rPr>
      </w:pPr>
      <w:r>
        <w:rPr>
          <w:color w:val="FF0000"/>
          <w:sz w:val="20"/>
          <w:szCs w:val="20"/>
        </w:rPr>
        <w:t xml:space="preserve">Southwest Asia’s GNI per capita ($29,309) is considerably higher (almost 2x) than any other LDC </w:t>
      </w:r>
      <w:proofErr w:type="gramStart"/>
      <w:r>
        <w:rPr>
          <w:color w:val="FF0000"/>
          <w:sz w:val="20"/>
          <w:szCs w:val="20"/>
        </w:rPr>
        <w:t>regions</w:t>
      </w:r>
      <w:proofErr w:type="gramEnd"/>
      <w:r>
        <w:rPr>
          <w:color w:val="FF0000"/>
          <w:sz w:val="20"/>
          <w:szCs w:val="20"/>
        </w:rPr>
        <w:t xml:space="preserve"> but its TFR (2.6) is still higher than many other LDC regions including the much poorer South Asia (2.4), Latin America (2.0) and Southeast Asia (2.2)</w:t>
      </w:r>
    </w:p>
    <w:p w14:paraId="5A4F9611" w14:textId="77777777" w:rsidR="001A39CD" w:rsidRDefault="001A39CD">
      <w:pPr>
        <w:spacing w:after="0" w:line="240" w:lineRule="auto"/>
        <w:ind w:left="900" w:hanging="540"/>
        <w:rPr>
          <w:sz w:val="20"/>
          <w:szCs w:val="20"/>
        </w:rPr>
      </w:pPr>
    </w:p>
    <w:p w14:paraId="3A3CF4CD" w14:textId="77777777" w:rsidR="001A39CD" w:rsidRDefault="00646C82">
      <w:pPr>
        <w:numPr>
          <w:ilvl w:val="1"/>
          <w:numId w:val="2"/>
        </w:numPr>
        <w:spacing w:after="0" w:line="240" w:lineRule="auto"/>
        <w:ind w:left="900" w:hanging="540"/>
        <w:rPr>
          <w:b/>
          <w:sz w:val="20"/>
          <w:szCs w:val="20"/>
        </w:rPr>
      </w:pPr>
      <w:r>
        <w:rPr>
          <w:b/>
          <w:sz w:val="20"/>
          <w:szCs w:val="20"/>
        </w:rPr>
        <w:t>EXPLAIN</w:t>
      </w:r>
      <w:r>
        <w:rPr>
          <w:sz w:val="20"/>
          <w:szCs w:val="20"/>
        </w:rPr>
        <w:t xml:space="preserve"> one reason why Southwest Asia violates these relationships (you may use the internet here but don’t “copy”).</w:t>
      </w:r>
    </w:p>
    <w:p w14:paraId="4F882228" w14:textId="77777777" w:rsidR="001A39CD" w:rsidRDefault="00646C82">
      <w:pPr>
        <w:numPr>
          <w:ilvl w:val="2"/>
          <w:numId w:val="2"/>
        </w:numPr>
        <w:spacing w:after="0" w:line="240" w:lineRule="auto"/>
        <w:rPr>
          <w:color w:val="FF0000"/>
          <w:sz w:val="20"/>
          <w:szCs w:val="20"/>
        </w:rPr>
      </w:pPr>
      <w:r>
        <w:rPr>
          <w:color w:val="FF0000"/>
          <w:sz w:val="20"/>
          <w:szCs w:val="20"/>
        </w:rPr>
        <w:t>One reason for why Southwest Asia’s rise in GNI per capita does not correlate with a reduction in TFR is that while Southwest Asia has earned a lot of money from huge oil reserves it still has a male -dominated culture with low female empowerment especially in Muslim-dominated Persian Gulf states.  Where there is less female empowerment, women do not get to make reproductive choices and the TFR is higher.</w:t>
      </w:r>
    </w:p>
    <w:p w14:paraId="34932F86" w14:textId="77777777" w:rsidR="001A39CD" w:rsidRDefault="001A39CD">
      <w:pPr>
        <w:spacing w:after="0" w:line="240" w:lineRule="auto"/>
        <w:ind w:left="900" w:hanging="540"/>
        <w:rPr>
          <w:sz w:val="20"/>
          <w:szCs w:val="20"/>
        </w:rPr>
      </w:pPr>
    </w:p>
    <w:p w14:paraId="0D92FD1A" w14:textId="77777777" w:rsidR="001A39CD" w:rsidRDefault="00646C82">
      <w:pPr>
        <w:numPr>
          <w:ilvl w:val="1"/>
          <w:numId w:val="2"/>
        </w:numPr>
        <w:spacing w:after="0" w:line="240" w:lineRule="auto"/>
        <w:ind w:left="900" w:hanging="540"/>
        <w:rPr>
          <w:sz w:val="20"/>
          <w:szCs w:val="20"/>
        </w:rPr>
      </w:pPr>
      <w:r>
        <w:rPr>
          <w:b/>
          <w:sz w:val="20"/>
          <w:szCs w:val="20"/>
        </w:rPr>
        <w:t>DESCRIBE</w:t>
      </w:r>
      <w:r>
        <w:rPr>
          <w:sz w:val="20"/>
          <w:szCs w:val="20"/>
        </w:rPr>
        <w:t xml:space="preserve"> how Eastern Europe violates relationships established in previous questions.</w:t>
      </w:r>
    </w:p>
    <w:p w14:paraId="5B04849E" w14:textId="77777777" w:rsidR="001A39CD" w:rsidRDefault="00646C82">
      <w:pPr>
        <w:numPr>
          <w:ilvl w:val="2"/>
          <w:numId w:val="2"/>
        </w:numPr>
        <w:spacing w:after="0" w:line="240" w:lineRule="auto"/>
        <w:rPr>
          <w:color w:val="FF0000"/>
          <w:sz w:val="20"/>
          <w:szCs w:val="20"/>
        </w:rPr>
      </w:pPr>
      <w:r>
        <w:rPr>
          <w:color w:val="FF0000"/>
          <w:sz w:val="20"/>
          <w:szCs w:val="20"/>
        </w:rPr>
        <w:t xml:space="preserve">Student should state the relationship being </w:t>
      </w:r>
      <w:proofErr w:type="gramStart"/>
      <w:r>
        <w:rPr>
          <w:color w:val="FF0000"/>
          <w:sz w:val="20"/>
          <w:szCs w:val="20"/>
        </w:rPr>
        <w:t>violated</w:t>
      </w:r>
      <w:proofErr w:type="gramEnd"/>
    </w:p>
    <w:p w14:paraId="576087C0" w14:textId="77777777" w:rsidR="001A39CD" w:rsidRDefault="00646C82">
      <w:pPr>
        <w:numPr>
          <w:ilvl w:val="3"/>
          <w:numId w:val="2"/>
        </w:numPr>
        <w:spacing w:after="0" w:line="240" w:lineRule="auto"/>
        <w:rPr>
          <w:color w:val="FF0000"/>
          <w:sz w:val="20"/>
          <w:szCs w:val="20"/>
        </w:rPr>
      </w:pPr>
      <w:r>
        <w:rPr>
          <w:color w:val="FF0000"/>
          <w:sz w:val="20"/>
          <w:szCs w:val="20"/>
        </w:rPr>
        <w:t xml:space="preserve">In most cases when you have a relatively low GNI per capita your TFR is higher.  </w:t>
      </w:r>
    </w:p>
    <w:p w14:paraId="2D44AF3C" w14:textId="77777777" w:rsidR="001A39CD" w:rsidRDefault="00646C82">
      <w:pPr>
        <w:numPr>
          <w:ilvl w:val="2"/>
          <w:numId w:val="2"/>
        </w:numPr>
        <w:spacing w:after="0" w:line="240" w:lineRule="auto"/>
        <w:rPr>
          <w:color w:val="FF0000"/>
          <w:sz w:val="20"/>
          <w:szCs w:val="20"/>
        </w:rPr>
      </w:pPr>
      <w:r>
        <w:rPr>
          <w:color w:val="FF0000"/>
          <w:sz w:val="20"/>
          <w:szCs w:val="20"/>
        </w:rPr>
        <w:t>Student should cite evidence from the chart to support the above</w:t>
      </w:r>
    </w:p>
    <w:p w14:paraId="3F036C82" w14:textId="77777777" w:rsidR="001A39CD" w:rsidRDefault="00646C82">
      <w:pPr>
        <w:numPr>
          <w:ilvl w:val="3"/>
          <w:numId w:val="2"/>
        </w:numPr>
        <w:spacing w:after="0" w:line="240" w:lineRule="auto"/>
        <w:rPr>
          <w:color w:val="FF0000"/>
          <w:sz w:val="20"/>
          <w:szCs w:val="20"/>
        </w:rPr>
      </w:pPr>
      <w:r>
        <w:rPr>
          <w:color w:val="FF0000"/>
          <w:sz w:val="20"/>
          <w:szCs w:val="20"/>
        </w:rPr>
        <w:t>In the case of Eastern Europe its GNI per capita is around 26k which is under ½ of the GNI per capita of North America which is the highest at 62k. Yet Eastern Europe has the lowest TFRs of any global region at 1.3 compared to other MDC regions like North America and Western Europe that both have TFRs of 1.7</w:t>
      </w:r>
    </w:p>
    <w:p w14:paraId="01669DA8" w14:textId="77777777" w:rsidR="001A39CD" w:rsidRDefault="001A39CD">
      <w:pPr>
        <w:spacing w:after="0" w:line="240" w:lineRule="auto"/>
        <w:ind w:left="900" w:hanging="540"/>
        <w:rPr>
          <w:sz w:val="20"/>
          <w:szCs w:val="20"/>
        </w:rPr>
      </w:pPr>
    </w:p>
    <w:p w14:paraId="58BAF51F" w14:textId="77777777" w:rsidR="001A39CD" w:rsidRDefault="00646C82">
      <w:pPr>
        <w:numPr>
          <w:ilvl w:val="1"/>
          <w:numId w:val="2"/>
        </w:numPr>
        <w:spacing w:after="0" w:line="240" w:lineRule="auto"/>
        <w:ind w:left="900" w:hanging="540"/>
        <w:rPr>
          <w:b/>
          <w:sz w:val="20"/>
          <w:szCs w:val="20"/>
        </w:rPr>
      </w:pPr>
      <w:r>
        <w:rPr>
          <w:b/>
          <w:sz w:val="20"/>
          <w:szCs w:val="20"/>
        </w:rPr>
        <w:t>EXPLAIN</w:t>
      </w:r>
      <w:r>
        <w:rPr>
          <w:sz w:val="20"/>
          <w:szCs w:val="20"/>
        </w:rPr>
        <w:t xml:space="preserve"> one reason why Eastern Europe violates these relationships (refer to or review prior learning).</w:t>
      </w:r>
    </w:p>
    <w:p w14:paraId="175A7DDB" w14:textId="77777777" w:rsidR="001A39CD" w:rsidRDefault="00646C82">
      <w:pPr>
        <w:numPr>
          <w:ilvl w:val="2"/>
          <w:numId w:val="2"/>
        </w:numPr>
        <w:spacing w:after="0" w:line="240" w:lineRule="auto"/>
        <w:rPr>
          <w:color w:val="FF0000"/>
          <w:sz w:val="20"/>
          <w:szCs w:val="20"/>
        </w:rPr>
      </w:pPr>
      <w:r>
        <w:rPr>
          <w:color w:val="FF0000"/>
          <w:sz w:val="20"/>
          <w:szCs w:val="20"/>
        </w:rPr>
        <w:t xml:space="preserve">Students should provide a reason for why Eastern Europe has a relatively low GNI per capita and a low TFR (opposite should be true) </w:t>
      </w:r>
    </w:p>
    <w:p w14:paraId="059B0677" w14:textId="77777777" w:rsidR="001A39CD" w:rsidRDefault="00646C82">
      <w:pPr>
        <w:numPr>
          <w:ilvl w:val="3"/>
          <w:numId w:val="2"/>
        </w:numPr>
        <w:spacing w:after="0" w:line="240" w:lineRule="auto"/>
        <w:rPr>
          <w:color w:val="FF0000"/>
          <w:sz w:val="20"/>
          <w:szCs w:val="20"/>
        </w:rPr>
      </w:pPr>
      <w:r>
        <w:rPr>
          <w:color w:val="FF0000"/>
          <w:sz w:val="20"/>
          <w:szCs w:val="20"/>
        </w:rPr>
        <w:t xml:space="preserve">Eastern Europe has suffered economic hardship because of communism.  Although communism provided some developmental benefits which </w:t>
      </w:r>
      <w:proofErr w:type="gramStart"/>
      <w:r>
        <w:rPr>
          <w:color w:val="FF0000"/>
          <w:sz w:val="20"/>
          <w:szCs w:val="20"/>
        </w:rPr>
        <w:t>resulted  in</w:t>
      </w:r>
      <w:proofErr w:type="gramEnd"/>
      <w:r>
        <w:rPr>
          <w:color w:val="FF0000"/>
          <w:sz w:val="20"/>
          <w:szCs w:val="20"/>
        </w:rPr>
        <w:t xml:space="preserve"> decreasing TFR, it did not produce the  economic benefits enjoyed by the capitalist West and which would have been reflected in a higher GNI per capita.  Furthermore, when the communist system was overthrown in Eastern Europe many inefficient communist-era businesses were closed leading to widespread unemployment and economic pessimism resulting in an even lower TFR.</w:t>
      </w:r>
    </w:p>
    <w:p w14:paraId="2753B6C8" w14:textId="77777777" w:rsidR="001A39CD" w:rsidRDefault="001A39CD">
      <w:pPr>
        <w:spacing w:after="0" w:line="240" w:lineRule="auto"/>
        <w:ind w:left="2880"/>
        <w:rPr>
          <w:sz w:val="20"/>
          <w:szCs w:val="20"/>
        </w:rPr>
      </w:pPr>
    </w:p>
    <w:p w14:paraId="5197EF4C" w14:textId="77777777" w:rsidR="001A39CD" w:rsidRDefault="001A39CD">
      <w:pPr>
        <w:spacing w:after="0" w:line="240" w:lineRule="auto"/>
        <w:rPr>
          <w:sz w:val="20"/>
          <w:szCs w:val="20"/>
        </w:rPr>
      </w:pPr>
    </w:p>
    <w:p w14:paraId="4CC40BE1" w14:textId="77777777" w:rsidR="001A39CD" w:rsidRDefault="001A39CD">
      <w:pPr>
        <w:spacing w:after="0" w:line="240" w:lineRule="auto"/>
        <w:ind w:left="1440"/>
        <w:rPr>
          <w:sz w:val="20"/>
          <w:szCs w:val="20"/>
        </w:rPr>
      </w:pPr>
    </w:p>
    <w:p w14:paraId="18088557" w14:textId="77777777" w:rsidR="001A39CD" w:rsidRDefault="001A39CD">
      <w:pPr>
        <w:spacing w:line="240" w:lineRule="auto"/>
        <w:ind w:left="720"/>
        <w:rPr>
          <w:sz w:val="20"/>
          <w:szCs w:val="20"/>
        </w:rPr>
      </w:pPr>
    </w:p>
    <w:sectPr w:rsidR="001A39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358"/>
    <w:multiLevelType w:val="multilevel"/>
    <w:tmpl w:val="950C70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712E31B4"/>
    <w:multiLevelType w:val="multilevel"/>
    <w:tmpl w:val="2098D82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3608029">
    <w:abstractNumId w:val="0"/>
  </w:num>
  <w:num w:numId="2" w16cid:durableId="638344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CD"/>
    <w:rsid w:val="001A39CD"/>
    <w:rsid w:val="0064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497B"/>
  <w15:docId w15:val="{BFC33749-46B7-4F6F-A6A3-82A37401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Stepek</dc:creator>
  <cp:lastModifiedBy>Paul Stepek</cp:lastModifiedBy>
  <cp:revision>2</cp:revision>
  <dcterms:created xsi:type="dcterms:W3CDTF">2023-11-08T03:00:00Z</dcterms:created>
  <dcterms:modified xsi:type="dcterms:W3CDTF">2023-11-08T03:00:00Z</dcterms:modified>
</cp:coreProperties>
</file>